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EFF7" w14:textId="729D401D" w:rsidR="00CD211E" w:rsidRPr="003E3B00" w:rsidRDefault="003E3B00" w:rsidP="003E3B00">
      <w:pPr>
        <w:jc w:val="center"/>
        <w:rPr>
          <w:rFonts w:ascii="Arial" w:hAnsi="Arial" w:cs="Arial"/>
          <w:b/>
          <w:sz w:val="36"/>
          <w:szCs w:val="36"/>
        </w:rPr>
      </w:pPr>
      <w:r>
        <w:rPr>
          <w:rFonts w:ascii="Arial" w:hAnsi="Arial" w:cs="Arial"/>
          <w:b/>
          <w:sz w:val="36"/>
          <w:szCs w:val="36"/>
        </w:rPr>
        <w:t>Consent</w:t>
      </w:r>
      <w:r w:rsidR="00AA6B2F">
        <w:rPr>
          <w:rFonts w:ascii="Arial" w:hAnsi="Arial" w:cs="Arial"/>
          <w:b/>
          <w:sz w:val="36"/>
          <w:szCs w:val="36"/>
        </w:rPr>
        <w:t xml:space="preserve"> Guidance Policy</w:t>
      </w:r>
    </w:p>
    <w:p w14:paraId="0B653BCA" w14:textId="77777777" w:rsidR="007A0CF7" w:rsidRPr="003E3B00" w:rsidRDefault="007A0CF7" w:rsidP="003E3B00">
      <w:pPr>
        <w:jc w:val="center"/>
        <w:rPr>
          <w:rFonts w:ascii="Arial" w:hAnsi="Arial" w:cs="Arial"/>
          <w:b/>
          <w:sz w:val="36"/>
          <w:szCs w:val="36"/>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22"/>
        <w:gridCol w:w="2224"/>
        <w:gridCol w:w="2101"/>
        <w:gridCol w:w="3272"/>
      </w:tblGrid>
      <w:tr w:rsidR="003E3B00" w14:paraId="46F8822E" w14:textId="77777777" w:rsidTr="000570CB">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25D3449" w14:textId="77777777" w:rsidR="003E3B00" w:rsidRPr="00DD0E46" w:rsidRDefault="003E3B00" w:rsidP="000570CB">
            <w:pPr>
              <w:jc w:val="center"/>
              <w:rPr>
                <w:rFonts w:ascii="Arial" w:eastAsia="Arial" w:hAnsi="Arial" w:cs="Arial"/>
                <w:b/>
                <w:spacing w:val="-2"/>
                <w:sz w:val="26"/>
                <w:szCs w:val="26"/>
              </w:rPr>
            </w:pPr>
            <w:r w:rsidRPr="00DD0E46">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CAB8359" w14:textId="77777777" w:rsidR="003E3B00" w:rsidRPr="00DD0E46" w:rsidRDefault="003E3B00" w:rsidP="000570CB">
            <w:pPr>
              <w:jc w:val="center"/>
              <w:rPr>
                <w:rFonts w:ascii="Arial" w:eastAsia="Arial" w:hAnsi="Arial" w:cs="Arial"/>
                <w:b/>
                <w:spacing w:val="-2"/>
                <w:sz w:val="26"/>
                <w:szCs w:val="26"/>
              </w:rPr>
            </w:pPr>
            <w:r w:rsidRPr="00DD0E46">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ADADB54" w14:textId="77777777" w:rsidR="003E3B00" w:rsidRPr="00DD0E46" w:rsidRDefault="003E3B00" w:rsidP="000570CB">
            <w:pPr>
              <w:jc w:val="center"/>
              <w:rPr>
                <w:rFonts w:ascii="Arial" w:eastAsia="Arial" w:hAnsi="Arial" w:cs="Arial"/>
                <w:b/>
                <w:spacing w:val="-2"/>
                <w:sz w:val="26"/>
                <w:szCs w:val="26"/>
              </w:rPr>
            </w:pPr>
            <w:r w:rsidRPr="00DD0E46">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91D08DE" w14:textId="77777777" w:rsidR="003E3B00" w:rsidRPr="00DD0E46" w:rsidRDefault="003E3B00" w:rsidP="000570CB">
            <w:pPr>
              <w:jc w:val="center"/>
              <w:rPr>
                <w:rFonts w:ascii="Arial" w:eastAsia="Arial" w:hAnsi="Arial" w:cs="Arial"/>
                <w:b/>
                <w:spacing w:val="-2"/>
                <w:sz w:val="26"/>
                <w:szCs w:val="26"/>
              </w:rPr>
            </w:pPr>
            <w:r w:rsidRPr="00DD0E46">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9EA2775" w14:textId="77777777" w:rsidR="003E3B00" w:rsidRPr="00DD0E46" w:rsidRDefault="003E3B00" w:rsidP="000570CB">
            <w:pPr>
              <w:jc w:val="center"/>
              <w:rPr>
                <w:rFonts w:ascii="Arial" w:eastAsia="Arial" w:hAnsi="Arial" w:cs="Arial"/>
                <w:b/>
                <w:spacing w:val="-2"/>
                <w:sz w:val="26"/>
                <w:szCs w:val="26"/>
              </w:rPr>
            </w:pPr>
            <w:r w:rsidRPr="00DD0E46">
              <w:rPr>
                <w:rFonts w:ascii="Arial" w:eastAsia="Arial" w:hAnsi="Arial" w:cs="Arial"/>
                <w:b/>
                <w:spacing w:val="-2"/>
                <w:sz w:val="26"/>
                <w:szCs w:val="26"/>
              </w:rPr>
              <w:t>Comments:</w:t>
            </w:r>
          </w:p>
        </w:tc>
      </w:tr>
      <w:tr w:rsidR="003E3B00" w14:paraId="78947ED2" w14:textId="77777777" w:rsidTr="000570CB">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46A6EDE9" w14:textId="135C3AB0" w:rsidR="003E3B00" w:rsidRPr="00DD0E46" w:rsidRDefault="003D489E" w:rsidP="000570CB">
            <w:pPr>
              <w:jc w:val="center"/>
              <w:rPr>
                <w:rFonts w:ascii="Arial" w:eastAsia="Arial" w:hAnsi="Arial" w:cs="Arial"/>
                <w:spacing w:val="-2"/>
                <w:sz w:val="26"/>
                <w:szCs w:val="26"/>
              </w:rPr>
            </w:pPr>
            <w:r>
              <w:rPr>
                <w:rFonts w:ascii="Arial" w:eastAsia="Arial" w:hAnsi="Arial" w:cs="Arial"/>
                <w:spacing w:val="-2"/>
                <w:sz w:val="26"/>
                <w:szCs w:val="26"/>
              </w:rPr>
              <w:t>2020A</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D01DD43" w14:textId="54442E8E" w:rsidR="003E3B00" w:rsidRPr="00DD0E46" w:rsidRDefault="003D489E" w:rsidP="000570CB">
            <w:pPr>
              <w:rPr>
                <w:rFonts w:ascii="Arial" w:eastAsia="Arial" w:hAnsi="Arial" w:cs="Arial"/>
                <w:spacing w:val="-2"/>
                <w:sz w:val="26"/>
                <w:szCs w:val="26"/>
              </w:rPr>
            </w:pPr>
            <w:r>
              <w:rPr>
                <w:rFonts w:ascii="Arial" w:eastAsia="Arial" w:hAnsi="Arial" w:cs="Arial"/>
                <w:spacing w:val="-2"/>
                <w:sz w:val="26"/>
                <w:szCs w:val="26"/>
              </w:rPr>
              <w:t>02.12.2019</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B92101C" w14:textId="56BAD567" w:rsidR="003E3B00" w:rsidRPr="00DD0E46" w:rsidRDefault="003D489E" w:rsidP="000570CB">
            <w:pPr>
              <w:rPr>
                <w:rFonts w:ascii="Arial" w:eastAsia="Arial" w:hAnsi="Arial" w:cs="Arial"/>
                <w:spacing w:val="-2"/>
                <w:sz w:val="26"/>
                <w:szCs w:val="26"/>
              </w:rPr>
            </w:pPr>
            <w:r>
              <w:rPr>
                <w:rFonts w:ascii="Arial" w:eastAsia="Arial" w:hAnsi="Arial" w:cs="Arial"/>
                <w:spacing w:val="-2"/>
                <w:sz w:val="26"/>
                <w:szCs w:val="26"/>
              </w:rPr>
              <w:t>LR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D80C190" w14:textId="5899A5C3" w:rsidR="003E3B00" w:rsidRPr="00DD0E46" w:rsidRDefault="003D489E" w:rsidP="000570CB">
            <w:pPr>
              <w:rPr>
                <w:rFonts w:ascii="Arial" w:eastAsia="Arial" w:hAnsi="Arial" w:cs="Arial"/>
                <w:spacing w:val="-2"/>
                <w:sz w:val="26"/>
                <w:szCs w:val="26"/>
              </w:rPr>
            </w:pPr>
            <w:r>
              <w:rPr>
                <w:rFonts w:ascii="Arial" w:eastAsia="Arial" w:hAnsi="Arial" w:cs="Arial"/>
                <w:spacing w:val="-2"/>
                <w:sz w:val="26"/>
                <w:szCs w:val="26"/>
              </w:rPr>
              <w:t>ML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F8E7E6A" w14:textId="77777777" w:rsidR="003E3B00" w:rsidRPr="00DD0E46" w:rsidRDefault="003E3B00" w:rsidP="000570CB">
            <w:pPr>
              <w:rPr>
                <w:rFonts w:ascii="Arial" w:hAnsi="Arial" w:cs="Arial"/>
                <w:sz w:val="26"/>
                <w:szCs w:val="26"/>
              </w:rPr>
            </w:pPr>
          </w:p>
        </w:tc>
      </w:tr>
      <w:tr w:rsidR="003E3B00" w14:paraId="3196F340" w14:textId="77777777" w:rsidTr="000570CB">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3D24814" w14:textId="1C6D2D4A" w:rsidR="003E3B00" w:rsidRPr="00DD0E46" w:rsidRDefault="00AA6B2F" w:rsidP="000570CB">
            <w:pPr>
              <w:rPr>
                <w:rFonts w:ascii="Arial" w:hAnsi="Arial" w:cs="Arial"/>
                <w:sz w:val="26"/>
                <w:szCs w:val="26"/>
              </w:rPr>
            </w:pPr>
            <w:r>
              <w:rPr>
                <w:rFonts w:ascii="Arial" w:hAnsi="Arial" w:cs="Arial"/>
                <w:sz w:val="26"/>
                <w:szCs w:val="26"/>
              </w:rPr>
              <w:t xml:space="preserve"> 2022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52428F7" w14:textId="3814B021" w:rsidR="003E3B00" w:rsidRPr="00DD0E46" w:rsidRDefault="00AA6B2F" w:rsidP="000570CB">
            <w:pPr>
              <w:rPr>
                <w:rFonts w:ascii="Arial" w:hAnsi="Arial" w:cs="Arial"/>
                <w:sz w:val="26"/>
                <w:szCs w:val="26"/>
              </w:rPr>
            </w:pPr>
            <w:r>
              <w:rPr>
                <w:rFonts w:ascii="Arial" w:hAnsi="Arial" w:cs="Arial"/>
                <w:sz w:val="26"/>
                <w:szCs w:val="26"/>
              </w:rPr>
              <w:t>07/01/2022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74475C1" w14:textId="76698256" w:rsidR="003E3B00" w:rsidRPr="00DD0E46" w:rsidRDefault="00AA6B2F" w:rsidP="000570CB">
            <w:pPr>
              <w:rPr>
                <w:rFonts w:ascii="Arial" w:hAnsi="Arial" w:cs="Arial"/>
                <w:sz w:val="26"/>
                <w:szCs w:val="26"/>
              </w:rPr>
            </w:pPr>
            <w:r>
              <w:rPr>
                <w:rFonts w:ascii="Arial" w:hAnsi="Arial" w:cs="Arial"/>
                <w:sz w:val="26"/>
                <w:szCs w:val="26"/>
              </w:rPr>
              <w:t>EO</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86647C6" w14:textId="286160A5" w:rsidR="003E3B00" w:rsidRPr="00DD0E46" w:rsidRDefault="00AA6B2F" w:rsidP="000570CB">
            <w:pPr>
              <w:rPr>
                <w:rFonts w:ascii="Arial" w:hAnsi="Arial" w:cs="Arial"/>
                <w:sz w:val="26"/>
                <w:szCs w:val="26"/>
              </w:rPr>
            </w:pPr>
            <w:r>
              <w:rPr>
                <w:rFonts w:ascii="Arial" w:hAnsi="Arial" w:cs="Arial"/>
                <w:sz w:val="26"/>
                <w:szCs w:val="26"/>
              </w:rPr>
              <w:t>ML</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6DC6EE3" w14:textId="2699244D" w:rsidR="003E3B00" w:rsidRPr="00DD0E46" w:rsidRDefault="002D018B" w:rsidP="000570CB">
            <w:pPr>
              <w:rPr>
                <w:rFonts w:ascii="Arial" w:hAnsi="Arial" w:cs="Arial"/>
                <w:sz w:val="26"/>
                <w:szCs w:val="26"/>
              </w:rPr>
            </w:pPr>
            <w:r>
              <w:rPr>
                <w:rFonts w:ascii="Arial" w:hAnsi="Arial" w:cs="Arial"/>
                <w:sz w:val="26"/>
                <w:szCs w:val="26"/>
              </w:rPr>
              <w:t>Review due Jan 2023</w:t>
            </w:r>
          </w:p>
        </w:tc>
      </w:tr>
      <w:tr w:rsidR="003E3B00" w14:paraId="03538D8C" w14:textId="77777777" w:rsidTr="000570CB">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6FEB09A" w14:textId="77777777" w:rsidR="003E3B00" w:rsidRPr="00DD0E46" w:rsidRDefault="003E3B00" w:rsidP="000570CB">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3C9A8F5" w14:textId="77777777" w:rsidR="003E3B00" w:rsidRPr="00DD0E46" w:rsidRDefault="003E3B00" w:rsidP="000570CB">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A63B4DE" w14:textId="77777777" w:rsidR="003E3B00" w:rsidRPr="00DD0E46" w:rsidRDefault="003E3B00" w:rsidP="000570CB">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E1E77D8" w14:textId="77777777" w:rsidR="003E3B00" w:rsidRPr="00DD0E46" w:rsidRDefault="003E3B00" w:rsidP="000570CB">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71E89972" w14:textId="77777777" w:rsidR="003E3B00" w:rsidRPr="00DD0E46" w:rsidRDefault="003E3B00" w:rsidP="000570CB">
            <w:pPr>
              <w:rPr>
                <w:rFonts w:ascii="Arial" w:hAnsi="Arial" w:cs="Arial"/>
                <w:sz w:val="26"/>
                <w:szCs w:val="26"/>
              </w:rPr>
            </w:pPr>
          </w:p>
        </w:tc>
      </w:tr>
      <w:tr w:rsidR="003E3B00" w14:paraId="372C470D" w14:textId="77777777" w:rsidTr="000570CB">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69F353" w14:textId="77777777" w:rsidR="003E3B00" w:rsidRPr="00DD0E46" w:rsidRDefault="003E3B00" w:rsidP="000570CB">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6A88B39" w14:textId="77777777" w:rsidR="003E3B00" w:rsidRPr="00DD0E46" w:rsidRDefault="003E3B00" w:rsidP="000570CB">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AF1F2E8" w14:textId="77777777" w:rsidR="003E3B00" w:rsidRPr="00DD0E46" w:rsidRDefault="003E3B00" w:rsidP="000570CB">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F008904" w14:textId="77777777" w:rsidR="003E3B00" w:rsidRPr="00DD0E46" w:rsidRDefault="003E3B00" w:rsidP="000570CB">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2955D63" w14:textId="77777777" w:rsidR="003E3B00" w:rsidRPr="00DD0E46" w:rsidRDefault="003E3B00" w:rsidP="000570CB">
            <w:pPr>
              <w:rPr>
                <w:rFonts w:ascii="Arial" w:hAnsi="Arial" w:cs="Arial"/>
                <w:sz w:val="26"/>
                <w:szCs w:val="26"/>
              </w:rPr>
            </w:pPr>
          </w:p>
        </w:tc>
      </w:tr>
    </w:tbl>
    <w:p w14:paraId="61F35874" w14:textId="77777777" w:rsidR="003E3B00" w:rsidRDefault="003E3B00" w:rsidP="00CD211E">
      <w:pPr>
        <w:rPr>
          <w:rFonts w:ascii="Arial" w:hAnsi="Arial" w:cs="Arial"/>
          <w:sz w:val="28"/>
          <w:szCs w:val="28"/>
        </w:rPr>
      </w:pPr>
    </w:p>
    <w:p w14:paraId="4F95480F" w14:textId="77777777" w:rsidR="003E3B00" w:rsidRDefault="003E3B00" w:rsidP="00CD211E">
      <w:pPr>
        <w:rPr>
          <w:rFonts w:ascii="Arial" w:hAnsi="Arial" w:cs="Arial"/>
          <w:sz w:val="28"/>
          <w:szCs w:val="28"/>
        </w:rPr>
      </w:pPr>
    </w:p>
    <w:p w14:paraId="6478BA75" w14:textId="77777777" w:rsidR="00CD211E" w:rsidRPr="003E3B00" w:rsidRDefault="00CD211E" w:rsidP="00CD211E">
      <w:pPr>
        <w:rPr>
          <w:rFonts w:ascii="Arial" w:hAnsi="Arial" w:cs="Arial"/>
          <w:b/>
          <w:sz w:val="28"/>
          <w:szCs w:val="28"/>
        </w:rPr>
      </w:pPr>
      <w:r w:rsidRPr="003E3B00">
        <w:rPr>
          <w:rFonts w:ascii="Arial" w:hAnsi="Arial" w:cs="Arial"/>
          <w:b/>
          <w:sz w:val="28"/>
          <w:szCs w:val="28"/>
        </w:rPr>
        <w:t>Table of contents</w:t>
      </w:r>
    </w:p>
    <w:p w14:paraId="069611A5" w14:textId="77777777" w:rsidR="00CD211E" w:rsidRDefault="00CD211E" w:rsidP="00CD211E">
      <w:pPr>
        <w:rPr>
          <w:rFonts w:ascii="Arial" w:hAnsi="Arial" w:cs="Arial"/>
          <w:sz w:val="28"/>
          <w:szCs w:val="28"/>
        </w:rPr>
      </w:pPr>
    </w:p>
    <w:p w14:paraId="7B9ECD6D" w14:textId="77777777" w:rsidR="00AA6B2F" w:rsidRPr="00AA6B2F" w:rsidRDefault="00AA6B2F" w:rsidP="00AA6B2F">
      <w:pPr>
        <w:pStyle w:val="TOC1"/>
        <w:tabs>
          <w:tab w:val="left" w:pos="709"/>
        </w:tabs>
        <w:rPr>
          <w:rFonts w:asciiTheme="minorHAnsi" w:eastAsiaTheme="minorEastAsia" w:hAnsiTheme="minorHAnsi" w:cstheme="minorBidi"/>
          <w:lang w:eastAsia="en-GB"/>
        </w:rPr>
      </w:pPr>
      <w:r>
        <w:rPr>
          <w:sz w:val="20"/>
          <w:szCs w:val="28"/>
        </w:rPr>
        <w:fldChar w:fldCharType="begin"/>
      </w:r>
      <w:r>
        <w:rPr>
          <w:sz w:val="20"/>
          <w:szCs w:val="28"/>
        </w:rPr>
        <w:instrText xml:space="preserve"> TOC \o "1-3" \h \z \u </w:instrText>
      </w:r>
      <w:r>
        <w:rPr>
          <w:sz w:val="20"/>
          <w:szCs w:val="28"/>
        </w:rPr>
        <w:fldChar w:fldCharType="separate"/>
      </w:r>
      <w:hyperlink r:id="rId9" w:anchor="_Toc91750325" w:history="1">
        <w:r w:rsidRPr="00AA6B2F">
          <w:rPr>
            <w:rStyle w:val="Hyperlink"/>
          </w:rPr>
          <w:t>1</w:t>
        </w:r>
        <w:r w:rsidRPr="00AA6B2F">
          <w:rPr>
            <w:rStyle w:val="Hyperlink"/>
            <w:rFonts w:eastAsiaTheme="minorEastAsia"/>
            <w:lang w:eastAsia="en-GB"/>
          </w:rPr>
          <w:tab/>
        </w:r>
        <w:r w:rsidRPr="00AA6B2F">
          <w:rPr>
            <w:rStyle w:val="Hyperlink"/>
          </w:rPr>
          <w:t>I</w:t>
        </w:r>
        <w:r w:rsidRPr="00AA6B2F">
          <w:rPr>
            <w:rStyle w:val="Hyperlink"/>
            <w:caps w:val="0"/>
          </w:rPr>
          <w:t>ntroduction</w:t>
        </w:r>
        <w:r w:rsidRPr="00AA6B2F">
          <w:rPr>
            <w:rStyle w:val="Hyperlink"/>
            <w:webHidden/>
          </w:rPr>
          <w:tab/>
        </w:r>
        <w:r w:rsidRPr="00AA6B2F">
          <w:rPr>
            <w:rStyle w:val="Hyperlink"/>
            <w:webHidden/>
          </w:rPr>
          <w:fldChar w:fldCharType="begin"/>
        </w:r>
        <w:r w:rsidRPr="00AA6B2F">
          <w:rPr>
            <w:rStyle w:val="Hyperlink"/>
            <w:webHidden/>
          </w:rPr>
          <w:instrText xml:space="preserve"> PAGEREF _Toc91750325 \h </w:instrText>
        </w:r>
        <w:r w:rsidRPr="00AA6B2F">
          <w:rPr>
            <w:rStyle w:val="Hyperlink"/>
            <w:webHidden/>
          </w:rPr>
        </w:r>
        <w:r w:rsidRPr="00AA6B2F">
          <w:rPr>
            <w:rStyle w:val="Hyperlink"/>
            <w:webHidden/>
          </w:rPr>
          <w:fldChar w:fldCharType="separate"/>
        </w:r>
        <w:r w:rsidRPr="00AA6B2F">
          <w:rPr>
            <w:rStyle w:val="Hyperlink"/>
            <w:webHidden/>
          </w:rPr>
          <w:t>3</w:t>
        </w:r>
        <w:r w:rsidRPr="00AA6B2F">
          <w:rPr>
            <w:rStyle w:val="Hyperlink"/>
            <w:webHidden/>
          </w:rPr>
          <w:fldChar w:fldCharType="end"/>
        </w:r>
      </w:hyperlink>
    </w:p>
    <w:p w14:paraId="163BBC85" w14:textId="77777777" w:rsidR="00AA6B2F" w:rsidRPr="00AA6B2F" w:rsidRDefault="002D018B" w:rsidP="00AA6B2F">
      <w:pPr>
        <w:pStyle w:val="TOC1"/>
        <w:tabs>
          <w:tab w:val="left" w:pos="709"/>
        </w:tabs>
        <w:rPr>
          <w:rFonts w:ascii="Arial" w:eastAsiaTheme="minorEastAsia" w:hAnsi="Arial" w:cs="Arial"/>
          <w:lang w:eastAsia="en-GB"/>
        </w:rPr>
      </w:pPr>
      <w:hyperlink r:id="rId10" w:anchor="_Toc91750326" w:history="1">
        <w:r w:rsidR="00AA6B2F" w:rsidRPr="00AA6B2F">
          <w:rPr>
            <w:rStyle w:val="Hyperlink"/>
          </w:rPr>
          <w:t>1.1</w:t>
        </w:r>
        <w:r w:rsidR="00AA6B2F" w:rsidRPr="00AA6B2F">
          <w:rPr>
            <w:rStyle w:val="Hyperlink"/>
            <w:rFonts w:eastAsiaTheme="minorEastAsia"/>
            <w:lang w:eastAsia="en-GB"/>
          </w:rPr>
          <w:tab/>
        </w:r>
        <w:r w:rsidR="00AA6B2F" w:rsidRPr="00AA6B2F">
          <w:rPr>
            <w:rStyle w:val="Hyperlink"/>
            <w:caps w:val="0"/>
          </w:rPr>
          <w:t>Policy statement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_Toc91750326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3</w:t>
        </w:r>
        <w:r w:rsidR="00AA6B2F" w:rsidRPr="00AA6B2F">
          <w:rPr>
            <w:rStyle w:val="Hyperlink"/>
            <w:webHidden/>
          </w:rPr>
          <w:fldChar w:fldCharType="end"/>
        </w:r>
      </w:hyperlink>
    </w:p>
    <w:p w14:paraId="0CBBFFC7" w14:textId="77777777" w:rsidR="00AA6B2F" w:rsidRPr="00AA6B2F" w:rsidRDefault="002D018B" w:rsidP="00AA6B2F">
      <w:pPr>
        <w:pStyle w:val="TOC1"/>
        <w:tabs>
          <w:tab w:val="left" w:pos="709"/>
        </w:tabs>
        <w:rPr>
          <w:rFonts w:eastAsiaTheme="minorEastAsia"/>
          <w:lang w:eastAsia="en-GB"/>
        </w:rPr>
      </w:pPr>
      <w:hyperlink r:id="rId11" w:anchor="_Toc91750327" w:history="1">
        <w:r w:rsidR="00AA6B2F" w:rsidRPr="00AA6B2F">
          <w:rPr>
            <w:rStyle w:val="Hyperlink"/>
          </w:rPr>
          <w:t>1.2</w:t>
        </w:r>
        <w:r w:rsidR="00AA6B2F" w:rsidRPr="00AA6B2F">
          <w:rPr>
            <w:rStyle w:val="Hyperlink"/>
            <w:rFonts w:eastAsiaTheme="minorEastAsia"/>
            <w:lang w:eastAsia="en-GB"/>
          </w:rPr>
          <w:tab/>
        </w:r>
        <w:r w:rsidR="00AA6B2F" w:rsidRPr="00AA6B2F">
          <w:rPr>
            <w:rStyle w:val="Hyperlink"/>
            <w:caps w:val="0"/>
          </w:rPr>
          <w:t>Status</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_Toc91750327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3</w:t>
        </w:r>
        <w:r w:rsidR="00AA6B2F" w:rsidRPr="00AA6B2F">
          <w:rPr>
            <w:rStyle w:val="Hyperlink"/>
            <w:webHidden/>
          </w:rPr>
          <w:fldChar w:fldCharType="end"/>
        </w:r>
      </w:hyperlink>
    </w:p>
    <w:p w14:paraId="23503762" w14:textId="77777777" w:rsidR="00AA6B2F" w:rsidRPr="00AA6B2F" w:rsidRDefault="002D018B" w:rsidP="00AA6B2F">
      <w:pPr>
        <w:pStyle w:val="TOC1"/>
        <w:tabs>
          <w:tab w:val="left" w:pos="709"/>
        </w:tabs>
        <w:rPr>
          <w:rFonts w:eastAsiaTheme="minorEastAsia"/>
          <w:lang w:eastAsia="en-GB"/>
        </w:rPr>
      </w:pPr>
      <w:hyperlink r:id="rId12" w:anchor="_Toc91750328" w:history="1">
        <w:r w:rsidR="00AA6B2F" w:rsidRPr="00AA6B2F">
          <w:rPr>
            <w:rStyle w:val="Hyperlink"/>
          </w:rPr>
          <w:t>1.3</w:t>
        </w:r>
        <w:r w:rsidR="00AA6B2F" w:rsidRPr="00AA6B2F">
          <w:rPr>
            <w:rStyle w:val="Hyperlink"/>
            <w:rFonts w:eastAsiaTheme="minorEastAsia"/>
            <w:lang w:eastAsia="en-GB"/>
          </w:rPr>
          <w:tab/>
        </w:r>
        <w:r w:rsidR="00AA6B2F" w:rsidRPr="00AA6B2F">
          <w:rPr>
            <w:rStyle w:val="Hyperlink"/>
            <w:caps w:val="0"/>
          </w:rPr>
          <w:t>KLOE (England only)</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_Toc91750328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3</w:t>
        </w:r>
        <w:r w:rsidR="00AA6B2F" w:rsidRPr="00AA6B2F">
          <w:rPr>
            <w:rStyle w:val="Hyperlink"/>
            <w:webHidden/>
          </w:rPr>
          <w:fldChar w:fldCharType="end"/>
        </w:r>
      </w:hyperlink>
    </w:p>
    <w:p w14:paraId="57696605" w14:textId="77777777" w:rsidR="00AA6B2F" w:rsidRPr="00AA6B2F" w:rsidRDefault="002D018B" w:rsidP="00AA6B2F">
      <w:pPr>
        <w:pStyle w:val="TOC1"/>
        <w:tabs>
          <w:tab w:val="left" w:pos="709"/>
        </w:tabs>
        <w:rPr>
          <w:rStyle w:val="Hyperlink"/>
        </w:rPr>
      </w:pPr>
      <w:hyperlink r:id="rId13" w:anchor="_Toc91750332" w:history="1">
        <w:r w:rsidR="00AA6B2F" w:rsidRPr="00AA6B2F">
          <w:rPr>
            <w:rStyle w:val="Hyperlink"/>
          </w:rPr>
          <w:t>1.4</w:t>
        </w:r>
        <w:r w:rsidR="00AA6B2F" w:rsidRPr="00AA6B2F">
          <w:rPr>
            <w:rStyle w:val="Hyperlink"/>
            <w:rFonts w:eastAsiaTheme="minorEastAsia"/>
            <w:lang w:eastAsia="en-GB"/>
          </w:rPr>
          <w:tab/>
          <w:t>T</w:t>
        </w:r>
        <w:r w:rsidR="00AA6B2F" w:rsidRPr="00AA6B2F">
          <w:rPr>
            <w:rStyle w:val="Hyperlink"/>
            <w:caps w:val="0"/>
          </w:rPr>
          <w:t>raining and support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_Toc91750332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4</w:t>
        </w:r>
        <w:r w:rsidR="00AA6B2F" w:rsidRPr="00AA6B2F">
          <w:rPr>
            <w:rStyle w:val="Hyperlink"/>
            <w:webHidden/>
          </w:rPr>
          <w:fldChar w:fldCharType="end"/>
        </w:r>
      </w:hyperlink>
    </w:p>
    <w:p w14:paraId="017BA93C" w14:textId="77777777" w:rsidR="00AA6B2F" w:rsidRPr="00AA6B2F" w:rsidRDefault="00AA6B2F" w:rsidP="00AA6B2F">
      <w:pPr>
        <w:tabs>
          <w:tab w:val="left" w:pos="709"/>
        </w:tabs>
        <w:rPr>
          <w:noProof/>
        </w:rPr>
      </w:pPr>
    </w:p>
    <w:p w14:paraId="001806FE" w14:textId="77777777" w:rsidR="00AA6B2F" w:rsidRPr="00AA6B2F" w:rsidRDefault="002D018B" w:rsidP="00AA6B2F">
      <w:pPr>
        <w:pStyle w:val="TOC1"/>
        <w:tabs>
          <w:tab w:val="left" w:pos="709"/>
        </w:tabs>
        <w:rPr>
          <w:rFonts w:asciiTheme="minorHAnsi" w:eastAsiaTheme="minorEastAsia" w:hAnsiTheme="minorHAnsi" w:cstheme="minorBidi"/>
          <w:noProof/>
          <w:lang w:eastAsia="en-GB"/>
        </w:rPr>
      </w:pPr>
      <w:hyperlink r:id="rId14" w:anchor="_Toc91750333" w:history="1">
        <w:r w:rsidR="00AA6B2F" w:rsidRPr="00AA6B2F">
          <w:rPr>
            <w:rStyle w:val="Hyperlink"/>
          </w:rPr>
          <w:t>2</w:t>
        </w:r>
        <w:r w:rsidR="00AA6B2F" w:rsidRPr="00AA6B2F">
          <w:rPr>
            <w:rStyle w:val="Hyperlink"/>
            <w:rFonts w:eastAsiaTheme="minorEastAsia"/>
            <w:lang w:eastAsia="en-GB"/>
          </w:rPr>
          <w:tab/>
        </w:r>
        <w:r w:rsidR="00AA6B2F" w:rsidRPr="00AA6B2F">
          <w:rPr>
            <w:rStyle w:val="Hyperlink"/>
          </w:rPr>
          <w:t>S</w:t>
        </w:r>
        <w:r w:rsidR="00AA6B2F" w:rsidRPr="00AA6B2F">
          <w:rPr>
            <w:rStyle w:val="Hyperlink"/>
            <w:caps w:val="0"/>
          </w:rPr>
          <w:t>cope</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_Toc91750333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4</w:t>
        </w:r>
        <w:r w:rsidR="00AA6B2F" w:rsidRPr="00AA6B2F">
          <w:rPr>
            <w:rStyle w:val="Hyperlink"/>
            <w:webHidden/>
          </w:rPr>
          <w:fldChar w:fldCharType="end"/>
        </w:r>
      </w:hyperlink>
    </w:p>
    <w:p w14:paraId="34D0E77C" w14:textId="77777777" w:rsidR="00AA6B2F" w:rsidRPr="00AA6B2F" w:rsidRDefault="002D018B" w:rsidP="00AA6B2F">
      <w:pPr>
        <w:pStyle w:val="TOC1"/>
        <w:tabs>
          <w:tab w:val="left" w:pos="709"/>
        </w:tabs>
        <w:rPr>
          <w:rFonts w:ascii="Arial" w:eastAsiaTheme="minorEastAsia" w:hAnsi="Arial" w:cs="Arial"/>
          <w:lang w:eastAsia="en-GB"/>
        </w:rPr>
      </w:pPr>
      <w:hyperlink r:id="rId15" w:anchor="_Toc91750334" w:history="1">
        <w:r w:rsidR="00AA6B2F" w:rsidRPr="00AA6B2F">
          <w:rPr>
            <w:rStyle w:val="Hyperlink"/>
          </w:rPr>
          <w:t>2.1</w:t>
        </w:r>
        <w:r w:rsidR="00AA6B2F" w:rsidRPr="00AA6B2F">
          <w:rPr>
            <w:rStyle w:val="Hyperlink"/>
            <w:rFonts w:eastAsiaTheme="minorEastAsia"/>
            <w:lang w:eastAsia="en-GB"/>
          </w:rPr>
          <w:tab/>
        </w:r>
        <w:r w:rsidR="00AA6B2F" w:rsidRPr="00AA6B2F">
          <w:rPr>
            <w:rStyle w:val="Hyperlink"/>
          </w:rPr>
          <w:t>W</w:t>
        </w:r>
        <w:r w:rsidR="00AA6B2F" w:rsidRPr="00AA6B2F">
          <w:rPr>
            <w:rStyle w:val="Hyperlink"/>
            <w:caps w:val="0"/>
          </w:rPr>
          <w:t>ho it applies to</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_Toc91750334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4</w:t>
        </w:r>
        <w:r w:rsidR="00AA6B2F" w:rsidRPr="00AA6B2F">
          <w:rPr>
            <w:rStyle w:val="Hyperlink"/>
            <w:webHidden/>
          </w:rPr>
          <w:fldChar w:fldCharType="end"/>
        </w:r>
      </w:hyperlink>
    </w:p>
    <w:p w14:paraId="4D4D61A3" w14:textId="77777777" w:rsidR="00AA6B2F" w:rsidRPr="00AA6B2F" w:rsidRDefault="002D018B" w:rsidP="00AA6B2F">
      <w:pPr>
        <w:pStyle w:val="TOC1"/>
        <w:tabs>
          <w:tab w:val="left" w:pos="709"/>
        </w:tabs>
        <w:rPr>
          <w:rStyle w:val="Hyperlink"/>
        </w:rPr>
      </w:pPr>
      <w:hyperlink r:id="rId16" w:anchor="_Toc91750336" w:history="1">
        <w:r w:rsidR="00AA6B2F" w:rsidRPr="00AA6B2F">
          <w:rPr>
            <w:rStyle w:val="Hyperlink"/>
          </w:rPr>
          <w:t>2.2</w:t>
        </w:r>
        <w:r w:rsidR="00AA6B2F" w:rsidRPr="00AA6B2F">
          <w:rPr>
            <w:rStyle w:val="Hyperlink"/>
            <w:rFonts w:eastAsiaTheme="minorEastAsia"/>
            <w:lang w:eastAsia="en-GB"/>
          </w:rPr>
          <w:tab/>
        </w:r>
        <w:r w:rsidR="00AA6B2F" w:rsidRPr="00AA6B2F">
          <w:rPr>
            <w:rStyle w:val="Hyperlink"/>
          </w:rPr>
          <w:t>W</w:t>
        </w:r>
        <w:r w:rsidR="00AA6B2F" w:rsidRPr="00AA6B2F">
          <w:rPr>
            <w:rStyle w:val="Hyperlink"/>
            <w:caps w:val="0"/>
          </w:rPr>
          <w:t>hy and how it applies to them</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_Toc91750336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5</w:t>
        </w:r>
        <w:r w:rsidR="00AA6B2F" w:rsidRPr="00AA6B2F">
          <w:rPr>
            <w:rStyle w:val="Hyperlink"/>
            <w:webHidden/>
          </w:rPr>
          <w:fldChar w:fldCharType="end"/>
        </w:r>
      </w:hyperlink>
    </w:p>
    <w:p w14:paraId="2CA798EC" w14:textId="77777777" w:rsidR="00AA6B2F" w:rsidRPr="00AA6B2F" w:rsidRDefault="00AA6B2F" w:rsidP="00AA6B2F">
      <w:pPr>
        <w:tabs>
          <w:tab w:val="left" w:pos="709"/>
        </w:tabs>
        <w:rPr>
          <w:noProof/>
        </w:rPr>
      </w:pPr>
    </w:p>
    <w:p w14:paraId="34A26AB4" w14:textId="77777777" w:rsidR="00AA6B2F" w:rsidRPr="00AA6B2F" w:rsidRDefault="002D018B" w:rsidP="00AA6B2F">
      <w:pPr>
        <w:pStyle w:val="TOC1"/>
        <w:tabs>
          <w:tab w:val="left" w:pos="709"/>
        </w:tabs>
        <w:rPr>
          <w:rFonts w:eastAsiaTheme="minorEastAsia"/>
          <w:noProof/>
          <w:lang w:eastAsia="en-GB"/>
        </w:rPr>
      </w:pPr>
      <w:hyperlink r:id="rId17" w:anchor="_Toc91750337" w:history="1">
        <w:r w:rsidR="00AA6B2F" w:rsidRPr="00AA6B2F">
          <w:rPr>
            <w:rStyle w:val="Hyperlink"/>
          </w:rPr>
          <w:t>3</w:t>
        </w:r>
        <w:r w:rsidR="00AA6B2F" w:rsidRPr="00AA6B2F">
          <w:rPr>
            <w:rStyle w:val="Hyperlink"/>
            <w:rFonts w:eastAsiaTheme="minorEastAsia"/>
            <w:lang w:eastAsia="en-GB"/>
          </w:rPr>
          <w:tab/>
        </w:r>
        <w:r w:rsidR="00AA6B2F" w:rsidRPr="00AA6B2F">
          <w:rPr>
            <w:rStyle w:val="Hyperlink"/>
          </w:rPr>
          <w:t>D</w:t>
        </w:r>
        <w:r w:rsidR="00AA6B2F" w:rsidRPr="00AA6B2F">
          <w:rPr>
            <w:rStyle w:val="Hyperlink"/>
            <w:caps w:val="0"/>
          </w:rPr>
          <w:t>efinition of terms</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_Toc91750337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5</w:t>
        </w:r>
        <w:r w:rsidR="00AA6B2F" w:rsidRPr="00AA6B2F">
          <w:rPr>
            <w:rStyle w:val="Hyperlink"/>
            <w:webHidden/>
          </w:rPr>
          <w:fldChar w:fldCharType="end"/>
        </w:r>
      </w:hyperlink>
    </w:p>
    <w:p w14:paraId="55E4547B" w14:textId="77777777" w:rsidR="00AA6B2F" w:rsidRPr="00AA6B2F" w:rsidRDefault="002D018B" w:rsidP="00AA6B2F">
      <w:pPr>
        <w:pStyle w:val="TOC1"/>
        <w:tabs>
          <w:tab w:val="left" w:pos="709"/>
        </w:tabs>
        <w:rPr>
          <w:rFonts w:eastAsiaTheme="minorEastAsia"/>
          <w:lang w:eastAsia="en-GB"/>
        </w:rPr>
      </w:pPr>
      <w:hyperlink r:id="rId18" w:anchor="_Toc91750338" w:history="1">
        <w:r w:rsidR="00AA6B2F" w:rsidRPr="00AA6B2F">
          <w:rPr>
            <w:rStyle w:val="Hyperlink"/>
            <w:caps w:val="0"/>
          </w:rPr>
          <w:t>3.1</w:t>
        </w:r>
        <w:r w:rsidR="00AA6B2F" w:rsidRPr="00AA6B2F">
          <w:rPr>
            <w:rStyle w:val="Hyperlink"/>
            <w:rFonts w:eastAsiaTheme="minorEastAsia"/>
            <w:lang w:eastAsia="en-GB"/>
          </w:rPr>
          <w:tab/>
          <w:t>V</w:t>
        </w:r>
        <w:r w:rsidR="00AA6B2F" w:rsidRPr="00AA6B2F">
          <w:rPr>
            <w:rStyle w:val="Hyperlink"/>
            <w:caps w:val="0"/>
          </w:rPr>
          <w:t>oluntary consent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_Toc91750338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5</w:t>
        </w:r>
        <w:r w:rsidR="00AA6B2F" w:rsidRPr="00AA6B2F">
          <w:rPr>
            <w:rStyle w:val="Hyperlink"/>
            <w:webHidden/>
          </w:rPr>
          <w:fldChar w:fldCharType="end"/>
        </w:r>
      </w:hyperlink>
    </w:p>
    <w:p w14:paraId="3389CB66" w14:textId="77777777" w:rsidR="00AA6B2F" w:rsidRPr="00AA6B2F" w:rsidRDefault="002D018B" w:rsidP="00AA6B2F">
      <w:pPr>
        <w:pStyle w:val="TOC1"/>
        <w:tabs>
          <w:tab w:val="left" w:pos="709"/>
        </w:tabs>
        <w:rPr>
          <w:rFonts w:eastAsiaTheme="minorEastAsia"/>
          <w:lang w:eastAsia="en-GB"/>
        </w:rPr>
      </w:pPr>
      <w:hyperlink r:id="rId19" w:anchor="_Toc91750339" w:history="1">
        <w:r w:rsidR="00AA6B2F" w:rsidRPr="00AA6B2F">
          <w:rPr>
            <w:rStyle w:val="Hyperlink"/>
            <w:caps w:val="0"/>
          </w:rPr>
          <w:t>3.2</w:t>
        </w:r>
        <w:r w:rsidR="00AA6B2F" w:rsidRPr="00AA6B2F">
          <w:rPr>
            <w:rStyle w:val="Hyperlink"/>
            <w:rFonts w:eastAsiaTheme="minorEastAsia"/>
            <w:lang w:eastAsia="en-GB"/>
          </w:rPr>
          <w:tab/>
          <w:t>I</w:t>
        </w:r>
        <w:r w:rsidR="00AA6B2F" w:rsidRPr="00AA6B2F">
          <w:rPr>
            <w:rStyle w:val="Hyperlink"/>
            <w:caps w:val="0"/>
          </w:rPr>
          <w:t>nformed consent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_Toc91750339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5</w:t>
        </w:r>
        <w:r w:rsidR="00AA6B2F" w:rsidRPr="00AA6B2F">
          <w:rPr>
            <w:rStyle w:val="Hyperlink"/>
            <w:webHidden/>
          </w:rPr>
          <w:fldChar w:fldCharType="end"/>
        </w:r>
      </w:hyperlink>
    </w:p>
    <w:p w14:paraId="484CE44B" w14:textId="77777777" w:rsidR="00AA6B2F" w:rsidRPr="00AA6B2F" w:rsidRDefault="002D018B" w:rsidP="00AA6B2F">
      <w:pPr>
        <w:pStyle w:val="TOC1"/>
        <w:tabs>
          <w:tab w:val="left" w:pos="709"/>
        </w:tabs>
        <w:rPr>
          <w:rFonts w:eastAsiaTheme="minorEastAsia"/>
          <w:lang w:eastAsia="en-GB"/>
        </w:rPr>
      </w:pPr>
      <w:hyperlink r:id="rId20" w:anchor="_Toc91750340" w:history="1">
        <w:r w:rsidR="00AA6B2F" w:rsidRPr="00AA6B2F">
          <w:rPr>
            <w:rStyle w:val="Hyperlink"/>
            <w:caps w:val="0"/>
          </w:rPr>
          <w:t>3.3</w:t>
        </w:r>
        <w:r w:rsidR="00AA6B2F" w:rsidRPr="00AA6B2F">
          <w:rPr>
            <w:rStyle w:val="Hyperlink"/>
            <w:rFonts w:eastAsiaTheme="minorEastAsia"/>
            <w:lang w:eastAsia="en-GB"/>
          </w:rPr>
          <w:tab/>
        </w:r>
        <w:r w:rsidR="00AA6B2F" w:rsidRPr="00AA6B2F">
          <w:rPr>
            <w:rStyle w:val="Hyperlink"/>
            <w:caps w:val="0"/>
          </w:rPr>
          <w:t>Capacity</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_Toc91750340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5</w:t>
        </w:r>
        <w:r w:rsidR="00AA6B2F" w:rsidRPr="00AA6B2F">
          <w:rPr>
            <w:rStyle w:val="Hyperlink"/>
            <w:webHidden/>
          </w:rPr>
          <w:fldChar w:fldCharType="end"/>
        </w:r>
      </w:hyperlink>
    </w:p>
    <w:p w14:paraId="48DEDBB9" w14:textId="77777777" w:rsidR="00AA6B2F" w:rsidRPr="00AA6B2F" w:rsidRDefault="002D018B" w:rsidP="00AA6B2F">
      <w:pPr>
        <w:pStyle w:val="TOC1"/>
        <w:tabs>
          <w:tab w:val="left" w:pos="709"/>
        </w:tabs>
        <w:rPr>
          <w:rFonts w:eastAsiaTheme="minorEastAsia"/>
          <w:lang w:eastAsia="en-GB"/>
        </w:rPr>
      </w:pPr>
      <w:hyperlink r:id="rId21" w:anchor="_Toc91750341" w:history="1">
        <w:r w:rsidR="00AA6B2F" w:rsidRPr="00AA6B2F">
          <w:rPr>
            <w:rStyle w:val="Hyperlink"/>
            <w:caps w:val="0"/>
          </w:rPr>
          <w:t>3.4</w:t>
        </w:r>
        <w:r w:rsidR="00AA6B2F" w:rsidRPr="00AA6B2F">
          <w:rPr>
            <w:rStyle w:val="Hyperlink"/>
            <w:rFonts w:eastAsiaTheme="minorEastAsia"/>
            <w:lang w:eastAsia="en-GB"/>
          </w:rPr>
          <w:tab/>
        </w:r>
        <w:r w:rsidR="00AA6B2F" w:rsidRPr="00AA6B2F">
          <w:rPr>
            <w:rStyle w:val="Hyperlink"/>
            <w:caps w:val="0"/>
          </w:rPr>
          <w:t>Age of consent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_Toc91750341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5</w:t>
        </w:r>
        <w:r w:rsidR="00AA6B2F" w:rsidRPr="00AA6B2F">
          <w:rPr>
            <w:rStyle w:val="Hyperlink"/>
            <w:webHidden/>
          </w:rPr>
          <w:fldChar w:fldCharType="end"/>
        </w:r>
      </w:hyperlink>
    </w:p>
    <w:p w14:paraId="28A0372D" w14:textId="77777777" w:rsidR="00AA6B2F" w:rsidRPr="00AA6B2F" w:rsidRDefault="002D018B" w:rsidP="00AA6B2F">
      <w:pPr>
        <w:pStyle w:val="TOC1"/>
        <w:tabs>
          <w:tab w:val="left" w:pos="709"/>
        </w:tabs>
        <w:rPr>
          <w:rFonts w:eastAsiaTheme="minorEastAsia"/>
          <w:lang w:eastAsia="en-GB"/>
        </w:rPr>
      </w:pPr>
      <w:hyperlink r:id="rId22" w:anchor="_Toc91750342" w:history="1">
        <w:r w:rsidR="00AA6B2F" w:rsidRPr="00AA6B2F">
          <w:rPr>
            <w:rStyle w:val="Hyperlink"/>
            <w:caps w:val="0"/>
          </w:rPr>
          <w:t>3.5</w:t>
        </w:r>
        <w:r w:rsidR="00AA6B2F" w:rsidRPr="00AA6B2F">
          <w:rPr>
            <w:rStyle w:val="Hyperlink"/>
            <w:rFonts w:eastAsiaTheme="minorEastAsia"/>
            <w:lang w:eastAsia="en-GB"/>
          </w:rPr>
          <w:tab/>
          <w:t>G</w:t>
        </w:r>
        <w:r w:rsidR="00AA6B2F" w:rsidRPr="00AA6B2F">
          <w:rPr>
            <w:rStyle w:val="Hyperlink"/>
            <w:caps w:val="0"/>
          </w:rPr>
          <w:t>illick competence</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_Toc91750342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6</w:t>
        </w:r>
        <w:r w:rsidR="00AA6B2F" w:rsidRPr="00AA6B2F">
          <w:rPr>
            <w:rStyle w:val="Hyperlink"/>
            <w:webHidden/>
          </w:rPr>
          <w:fldChar w:fldCharType="end"/>
        </w:r>
      </w:hyperlink>
    </w:p>
    <w:p w14:paraId="25719390" w14:textId="77777777" w:rsidR="00AA6B2F" w:rsidRPr="00AA6B2F" w:rsidRDefault="002D018B" w:rsidP="00AA6B2F">
      <w:pPr>
        <w:pStyle w:val="TOC1"/>
        <w:tabs>
          <w:tab w:val="left" w:pos="709"/>
        </w:tabs>
        <w:rPr>
          <w:rStyle w:val="Hyperlink"/>
        </w:rPr>
      </w:pPr>
      <w:hyperlink r:id="rId23" w:anchor="_Toc91750343" w:history="1">
        <w:r w:rsidR="00AA6B2F" w:rsidRPr="00AA6B2F">
          <w:rPr>
            <w:rStyle w:val="Hyperlink"/>
            <w:caps w:val="0"/>
          </w:rPr>
          <w:t>3.6</w:t>
        </w:r>
        <w:r w:rsidR="00AA6B2F" w:rsidRPr="00AA6B2F">
          <w:rPr>
            <w:rStyle w:val="Hyperlink"/>
            <w:rFonts w:eastAsiaTheme="minorEastAsia"/>
            <w:lang w:eastAsia="en-GB"/>
          </w:rPr>
          <w:tab/>
        </w:r>
        <w:r w:rsidR="00AA6B2F" w:rsidRPr="00AA6B2F">
          <w:rPr>
            <w:rStyle w:val="Hyperlink"/>
            <w:caps w:val="0"/>
          </w:rPr>
          <w:t>Fraser guidelines</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_Toc91750343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6</w:t>
        </w:r>
        <w:r w:rsidR="00AA6B2F" w:rsidRPr="00AA6B2F">
          <w:rPr>
            <w:rStyle w:val="Hyperlink"/>
            <w:webHidden/>
          </w:rPr>
          <w:fldChar w:fldCharType="end"/>
        </w:r>
      </w:hyperlink>
    </w:p>
    <w:p w14:paraId="1136C977" w14:textId="77777777" w:rsidR="00AA6B2F" w:rsidRPr="00AA6B2F" w:rsidRDefault="00AA6B2F" w:rsidP="00AA6B2F">
      <w:pPr>
        <w:tabs>
          <w:tab w:val="left" w:pos="709"/>
        </w:tabs>
        <w:rPr>
          <w:noProof/>
        </w:rPr>
      </w:pPr>
    </w:p>
    <w:p w14:paraId="7DDB9F03" w14:textId="77777777" w:rsidR="00AA6B2F" w:rsidRPr="00AA6B2F" w:rsidRDefault="002D018B" w:rsidP="00AA6B2F">
      <w:pPr>
        <w:pStyle w:val="TOC1"/>
        <w:tabs>
          <w:tab w:val="left" w:pos="709"/>
        </w:tabs>
        <w:rPr>
          <w:rFonts w:eastAsiaTheme="minorEastAsia"/>
          <w:noProof/>
          <w:lang w:eastAsia="en-GB"/>
        </w:rPr>
      </w:pPr>
      <w:hyperlink r:id="rId24" w:anchor="_Toc91750344" w:history="1">
        <w:r w:rsidR="00AA6B2F" w:rsidRPr="00AA6B2F">
          <w:rPr>
            <w:rStyle w:val="Hyperlink"/>
          </w:rPr>
          <w:t>4</w:t>
        </w:r>
        <w:r w:rsidR="00AA6B2F" w:rsidRPr="00AA6B2F">
          <w:rPr>
            <w:rStyle w:val="Hyperlink"/>
            <w:rFonts w:eastAsiaTheme="minorEastAsia"/>
            <w:lang w:eastAsia="en-GB"/>
          </w:rPr>
          <w:tab/>
        </w:r>
        <w:r w:rsidR="00AA6B2F" w:rsidRPr="00AA6B2F">
          <w:rPr>
            <w:rStyle w:val="Hyperlink"/>
          </w:rPr>
          <w:t>P</w:t>
        </w:r>
        <w:r w:rsidR="00AA6B2F" w:rsidRPr="00AA6B2F">
          <w:rPr>
            <w:rStyle w:val="Hyperlink"/>
            <w:caps w:val="0"/>
          </w:rPr>
          <w:t>olicy</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_Toc91750344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6</w:t>
        </w:r>
        <w:r w:rsidR="00AA6B2F" w:rsidRPr="00AA6B2F">
          <w:rPr>
            <w:rStyle w:val="Hyperlink"/>
            <w:webHidden/>
          </w:rPr>
          <w:fldChar w:fldCharType="end"/>
        </w:r>
      </w:hyperlink>
    </w:p>
    <w:p w14:paraId="6D702C8D" w14:textId="77777777" w:rsidR="00AA6B2F" w:rsidRPr="00AA6B2F" w:rsidRDefault="002D018B" w:rsidP="00AA6B2F">
      <w:pPr>
        <w:pStyle w:val="TOC1"/>
        <w:tabs>
          <w:tab w:val="left" w:pos="709"/>
        </w:tabs>
        <w:rPr>
          <w:rFonts w:eastAsiaTheme="minorEastAsia"/>
          <w:lang w:eastAsia="en-GB"/>
        </w:rPr>
      </w:pPr>
      <w:hyperlink r:id="rId25" w:anchor="_Toc91750345" w:history="1">
        <w:r w:rsidR="00AA6B2F" w:rsidRPr="00AA6B2F">
          <w:rPr>
            <w:rStyle w:val="Hyperlink"/>
          </w:rPr>
          <w:t>4.1</w:t>
        </w:r>
        <w:r w:rsidR="00AA6B2F" w:rsidRPr="00AA6B2F">
          <w:rPr>
            <w:rStyle w:val="Hyperlink"/>
            <w:rFonts w:eastAsiaTheme="minorEastAsia"/>
            <w:lang w:eastAsia="en-GB"/>
          </w:rPr>
          <w:tab/>
        </w:r>
        <w:r w:rsidR="00AA6B2F" w:rsidRPr="00AA6B2F">
          <w:rPr>
            <w:rStyle w:val="Hyperlink"/>
          </w:rPr>
          <w:t>G</w:t>
        </w:r>
        <w:r w:rsidR="00AA6B2F" w:rsidRPr="00AA6B2F">
          <w:rPr>
            <w:rStyle w:val="Hyperlink"/>
            <w:caps w:val="0"/>
          </w:rPr>
          <w:t>eneral overview</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_Toc91750345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6</w:t>
        </w:r>
        <w:r w:rsidR="00AA6B2F" w:rsidRPr="00AA6B2F">
          <w:rPr>
            <w:rStyle w:val="Hyperlink"/>
            <w:webHidden/>
          </w:rPr>
          <w:fldChar w:fldCharType="end"/>
        </w:r>
      </w:hyperlink>
    </w:p>
    <w:p w14:paraId="0369FDCF" w14:textId="77777777" w:rsidR="00AA6B2F" w:rsidRPr="00AA6B2F" w:rsidRDefault="002D018B" w:rsidP="00AA6B2F">
      <w:pPr>
        <w:pStyle w:val="TOC1"/>
        <w:tabs>
          <w:tab w:val="left" w:pos="709"/>
        </w:tabs>
        <w:rPr>
          <w:rFonts w:eastAsiaTheme="minorEastAsia"/>
          <w:lang w:eastAsia="en-GB"/>
        </w:rPr>
      </w:pPr>
      <w:hyperlink r:id="rId26" w:anchor="_Toc91750346" w:history="1">
        <w:r w:rsidR="00AA6B2F" w:rsidRPr="00AA6B2F">
          <w:rPr>
            <w:rStyle w:val="Hyperlink"/>
          </w:rPr>
          <w:t>4.2</w:t>
        </w:r>
        <w:r w:rsidR="00AA6B2F" w:rsidRPr="00AA6B2F">
          <w:rPr>
            <w:rStyle w:val="Hyperlink"/>
            <w:rFonts w:eastAsiaTheme="minorEastAsia"/>
            <w:lang w:eastAsia="en-GB"/>
          </w:rPr>
          <w:tab/>
        </w:r>
        <w:r w:rsidR="00AA6B2F" w:rsidRPr="00AA6B2F">
          <w:rPr>
            <w:rStyle w:val="Hyperlink"/>
          </w:rPr>
          <w:t>K</w:t>
        </w:r>
        <w:r w:rsidR="00AA6B2F" w:rsidRPr="00AA6B2F">
          <w:rPr>
            <w:rStyle w:val="Hyperlink"/>
            <w:caps w:val="0"/>
          </w:rPr>
          <w:t>ey principles for consent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_Toc91750346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7</w:t>
        </w:r>
        <w:r w:rsidR="00AA6B2F" w:rsidRPr="00AA6B2F">
          <w:rPr>
            <w:rStyle w:val="Hyperlink"/>
            <w:webHidden/>
          </w:rPr>
          <w:fldChar w:fldCharType="end"/>
        </w:r>
      </w:hyperlink>
    </w:p>
    <w:p w14:paraId="143AA6EC" w14:textId="77777777" w:rsidR="00AA6B2F" w:rsidRPr="00AA6B2F" w:rsidRDefault="002D018B" w:rsidP="00AA6B2F">
      <w:pPr>
        <w:pStyle w:val="TOC1"/>
        <w:tabs>
          <w:tab w:val="left" w:pos="709"/>
        </w:tabs>
        <w:rPr>
          <w:rFonts w:eastAsiaTheme="minorEastAsia"/>
          <w:lang w:eastAsia="en-GB"/>
        </w:rPr>
      </w:pPr>
      <w:hyperlink r:id="rId27" w:anchor="_Toc91750347" w:history="1">
        <w:r w:rsidR="00AA6B2F" w:rsidRPr="00AA6B2F">
          <w:rPr>
            <w:rStyle w:val="Hyperlink"/>
          </w:rPr>
          <w:t>4.3</w:t>
        </w:r>
        <w:r w:rsidR="00AA6B2F" w:rsidRPr="00AA6B2F">
          <w:rPr>
            <w:rStyle w:val="Hyperlink"/>
            <w:rFonts w:eastAsiaTheme="minorEastAsia"/>
            <w:lang w:eastAsia="en-GB"/>
          </w:rPr>
          <w:tab/>
        </w:r>
        <w:r w:rsidR="00AA6B2F" w:rsidRPr="00AA6B2F">
          <w:rPr>
            <w:rStyle w:val="Hyperlink"/>
          </w:rPr>
          <w:t>G</w:t>
        </w:r>
        <w:r w:rsidR="00AA6B2F" w:rsidRPr="00AA6B2F">
          <w:rPr>
            <w:rStyle w:val="Hyperlink"/>
            <w:caps w:val="0"/>
          </w:rPr>
          <w:t>iving consent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_Toc91750347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8</w:t>
        </w:r>
        <w:r w:rsidR="00AA6B2F" w:rsidRPr="00AA6B2F">
          <w:rPr>
            <w:rStyle w:val="Hyperlink"/>
            <w:webHidden/>
          </w:rPr>
          <w:fldChar w:fldCharType="end"/>
        </w:r>
      </w:hyperlink>
    </w:p>
    <w:p w14:paraId="29227278" w14:textId="77777777" w:rsidR="00AA6B2F" w:rsidRPr="00AA6B2F" w:rsidRDefault="002D018B" w:rsidP="00AA6B2F">
      <w:pPr>
        <w:pStyle w:val="TOC1"/>
        <w:tabs>
          <w:tab w:val="left" w:pos="709"/>
        </w:tabs>
        <w:rPr>
          <w:rFonts w:eastAsiaTheme="minorEastAsia"/>
          <w:lang w:eastAsia="en-GB"/>
        </w:rPr>
      </w:pPr>
      <w:hyperlink r:id="rId28" w:anchor="_Toc91750348" w:history="1">
        <w:r w:rsidR="00AA6B2F" w:rsidRPr="00AA6B2F">
          <w:rPr>
            <w:rStyle w:val="Hyperlink"/>
          </w:rPr>
          <w:t>4.4</w:t>
        </w:r>
        <w:r w:rsidR="00AA6B2F" w:rsidRPr="00AA6B2F">
          <w:rPr>
            <w:rStyle w:val="Hyperlink"/>
            <w:rFonts w:eastAsiaTheme="minorEastAsia"/>
            <w:lang w:eastAsia="en-GB"/>
          </w:rPr>
          <w:tab/>
        </w:r>
        <w:r w:rsidR="00AA6B2F" w:rsidRPr="00AA6B2F">
          <w:rPr>
            <w:rStyle w:val="Hyperlink"/>
          </w:rPr>
          <w:t>I</w:t>
        </w:r>
        <w:r w:rsidR="00AA6B2F" w:rsidRPr="00AA6B2F">
          <w:rPr>
            <w:rStyle w:val="Hyperlink"/>
            <w:caps w:val="0"/>
          </w:rPr>
          <w:t>s a consent form enough?</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_Toc91750348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8</w:t>
        </w:r>
        <w:r w:rsidR="00AA6B2F" w:rsidRPr="00AA6B2F">
          <w:rPr>
            <w:rStyle w:val="Hyperlink"/>
            <w:webHidden/>
          </w:rPr>
          <w:fldChar w:fldCharType="end"/>
        </w:r>
      </w:hyperlink>
    </w:p>
    <w:p w14:paraId="298E2B0E" w14:textId="77777777" w:rsidR="00AA6B2F" w:rsidRPr="00AA6B2F" w:rsidRDefault="002D018B" w:rsidP="00AA6B2F">
      <w:pPr>
        <w:pStyle w:val="TOC1"/>
        <w:tabs>
          <w:tab w:val="left" w:pos="709"/>
        </w:tabs>
        <w:rPr>
          <w:rFonts w:eastAsiaTheme="minorEastAsia"/>
          <w:lang w:eastAsia="en-GB"/>
        </w:rPr>
      </w:pPr>
      <w:hyperlink r:id="rId29" w:anchor="_Toc91750349" w:history="1">
        <w:r w:rsidR="00AA6B2F" w:rsidRPr="00AA6B2F">
          <w:rPr>
            <w:rStyle w:val="Hyperlink"/>
          </w:rPr>
          <w:t>4.5</w:t>
        </w:r>
        <w:r w:rsidR="00AA6B2F" w:rsidRPr="00AA6B2F">
          <w:rPr>
            <w:rStyle w:val="Hyperlink"/>
            <w:rFonts w:eastAsiaTheme="minorEastAsia"/>
            <w:lang w:eastAsia="en-GB"/>
          </w:rPr>
          <w:tab/>
        </w:r>
        <w:r w:rsidR="00AA6B2F" w:rsidRPr="00AA6B2F">
          <w:rPr>
            <w:rStyle w:val="Hyperlink"/>
          </w:rPr>
          <w:t>R</w:t>
        </w:r>
        <w:r w:rsidR="00AA6B2F" w:rsidRPr="00AA6B2F">
          <w:rPr>
            <w:rStyle w:val="Hyperlink"/>
            <w:caps w:val="0"/>
          </w:rPr>
          <w:t>ecording consent in a patient’s clinical record</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_Toc91750349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8</w:t>
        </w:r>
        <w:r w:rsidR="00AA6B2F" w:rsidRPr="00AA6B2F">
          <w:rPr>
            <w:rStyle w:val="Hyperlink"/>
            <w:webHidden/>
          </w:rPr>
          <w:fldChar w:fldCharType="end"/>
        </w:r>
      </w:hyperlink>
    </w:p>
    <w:p w14:paraId="4E167A2C" w14:textId="77777777" w:rsidR="00AA6B2F" w:rsidRPr="00AA6B2F" w:rsidRDefault="002D018B" w:rsidP="00AA6B2F">
      <w:pPr>
        <w:pStyle w:val="TOC1"/>
        <w:tabs>
          <w:tab w:val="left" w:pos="709"/>
        </w:tabs>
        <w:rPr>
          <w:rFonts w:eastAsiaTheme="minorEastAsia"/>
          <w:lang w:eastAsia="en-GB"/>
        </w:rPr>
      </w:pPr>
      <w:hyperlink r:id="rId30" w:anchor="_Toc91750352" w:history="1">
        <w:r w:rsidR="00AA6B2F" w:rsidRPr="00AA6B2F">
          <w:rPr>
            <w:rStyle w:val="Hyperlink"/>
          </w:rPr>
          <w:t>4.6</w:t>
        </w:r>
        <w:r w:rsidR="00AA6B2F" w:rsidRPr="00AA6B2F">
          <w:rPr>
            <w:rStyle w:val="Hyperlink"/>
            <w:rFonts w:eastAsiaTheme="minorEastAsia"/>
            <w:lang w:eastAsia="en-GB"/>
          </w:rPr>
          <w:tab/>
        </w:r>
        <w:r w:rsidR="00AA6B2F" w:rsidRPr="00AA6B2F">
          <w:rPr>
            <w:rStyle w:val="Hyperlink"/>
          </w:rPr>
          <w:t>W</w:t>
        </w:r>
        <w:r w:rsidR="00AA6B2F" w:rsidRPr="00AA6B2F">
          <w:rPr>
            <w:rStyle w:val="Hyperlink"/>
            <w:caps w:val="0"/>
          </w:rPr>
          <w:t>hen consent is not needed</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_Toc91750352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9</w:t>
        </w:r>
        <w:r w:rsidR="00AA6B2F" w:rsidRPr="00AA6B2F">
          <w:rPr>
            <w:rStyle w:val="Hyperlink"/>
            <w:webHidden/>
          </w:rPr>
          <w:fldChar w:fldCharType="end"/>
        </w:r>
      </w:hyperlink>
    </w:p>
    <w:p w14:paraId="4F59CBC4" w14:textId="77777777" w:rsidR="00AA6B2F" w:rsidRPr="00AA6B2F" w:rsidRDefault="002D018B" w:rsidP="00AA6B2F">
      <w:pPr>
        <w:pStyle w:val="TOC1"/>
        <w:tabs>
          <w:tab w:val="left" w:pos="709"/>
        </w:tabs>
        <w:rPr>
          <w:rFonts w:eastAsiaTheme="minorEastAsia"/>
          <w:lang w:eastAsia="en-GB"/>
        </w:rPr>
      </w:pPr>
      <w:hyperlink r:id="rId31" w:anchor="_Toc91750353" w:history="1">
        <w:r w:rsidR="00AA6B2F" w:rsidRPr="00AA6B2F">
          <w:rPr>
            <w:rStyle w:val="Hyperlink"/>
          </w:rPr>
          <w:t>4.7</w:t>
        </w:r>
        <w:r w:rsidR="00AA6B2F" w:rsidRPr="00AA6B2F">
          <w:rPr>
            <w:rStyle w:val="Hyperlink"/>
            <w:rFonts w:eastAsiaTheme="minorEastAsia"/>
            <w:lang w:eastAsia="en-GB"/>
          </w:rPr>
          <w:tab/>
        </w:r>
        <w:r w:rsidR="00AA6B2F" w:rsidRPr="00AA6B2F">
          <w:rPr>
            <w:rStyle w:val="Hyperlink"/>
          </w:rPr>
          <w:t>I</w:t>
        </w:r>
        <w:r w:rsidR="00AA6B2F" w:rsidRPr="00AA6B2F">
          <w:rPr>
            <w:rStyle w:val="Hyperlink"/>
            <w:caps w:val="0"/>
          </w:rPr>
          <w:t>mplied consent</w:t>
        </w:r>
        <w:r w:rsidR="00AA6B2F" w:rsidRPr="00AA6B2F">
          <w:rPr>
            <w:rStyle w:val="Hyperlink"/>
            <w:webHidden/>
          </w:rPr>
          <w:tab/>
        </w:r>
        <w:r w:rsidR="00AA6B2F" w:rsidRPr="00AA6B2F">
          <w:rPr>
            <w:rStyle w:val="Hyperlink"/>
            <w:webHidden/>
          </w:rPr>
          <w:fldChar w:fldCharType="begin"/>
        </w:r>
        <w:r w:rsidR="00AA6B2F" w:rsidRPr="00AA6B2F">
          <w:rPr>
            <w:rStyle w:val="Hyperlink"/>
            <w:webHidden/>
          </w:rPr>
          <w:instrText xml:space="preserve"> PAGEREF _Toc91750353 \h </w:instrText>
        </w:r>
        <w:r w:rsidR="00AA6B2F" w:rsidRPr="00AA6B2F">
          <w:rPr>
            <w:rStyle w:val="Hyperlink"/>
            <w:webHidden/>
          </w:rPr>
        </w:r>
        <w:r w:rsidR="00AA6B2F" w:rsidRPr="00AA6B2F">
          <w:rPr>
            <w:rStyle w:val="Hyperlink"/>
            <w:webHidden/>
          </w:rPr>
          <w:fldChar w:fldCharType="separate"/>
        </w:r>
        <w:r w:rsidR="00AA6B2F" w:rsidRPr="00AA6B2F">
          <w:rPr>
            <w:rStyle w:val="Hyperlink"/>
            <w:webHidden/>
          </w:rPr>
          <w:t>10</w:t>
        </w:r>
        <w:r w:rsidR="00AA6B2F" w:rsidRPr="00AA6B2F">
          <w:rPr>
            <w:rStyle w:val="Hyperlink"/>
            <w:webHidden/>
          </w:rPr>
          <w:fldChar w:fldCharType="end"/>
        </w:r>
      </w:hyperlink>
    </w:p>
    <w:p w14:paraId="42EAF99E" w14:textId="77777777" w:rsidR="00AA6B2F" w:rsidRDefault="002D018B" w:rsidP="00AA6B2F">
      <w:pPr>
        <w:pStyle w:val="TOC1"/>
        <w:tabs>
          <w:tab w:val="left" w:pos="709"/>
        </w:tabs>
        <w:rPr>
          <w:rFonts w:eastAsiaTheme="minorEastAsia"/>
          <w:sz w:val="20"/>
          <w:szCs w:val="20"/>
          <w:lang w:eastAsia="en-GB"/>
        </w:rPr>
      </w:pPr>
      <w:hyperlink r:id="rId32" w:anchor="_Toc91750354" w:history="1">
        <w:r w:rsidR="00AA6B2F">
          <w:rPr>
            <w:rStyle w:val="Hyperlink"/>
            <w:sz w:val="20"/>
            <w:szCs w:val="20"/>
          </w:rPr>
          <w:t>4.8</w:t>
        </w:r>
        <w:r w:rsidR="00AA6B2F">
          <w:rPr>
            <w:rStyle w:val="Hyperlink"/>
            <w:rFonts w:eastAsiaTheme="minorEastAsia"/>
            <w:sz w:val="20"/>
            <w:szCs w:val="20"/>
            <w:lang w:eastAsia="en-GB"/>
          </w:rPr>
          <w:tab/>
        </w:r>
        <w:r w:rsidR="00AA6B2F">
          <w:rPr>
            <w:rStyle w:val="Hyperlink"/>
            <w:sz w:val="20"/>
            <w:szCs w:val="20"/>
          </w:rPr>
          <w:t>O</w:t>
        </w:r>
        <w:r w:rsidR="00AA6B2F">
          <w:rPr>
            <w:rStyle w:val="Hyperlink"/>
            <w:caps w:val="0"/>
            <w:sz w:val="20"/>
            <w:szCs w:val="20"/>
          </w:rPr>
          <w:t>btaining consent</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_Toc91750354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10</w:t>
        </w:r>
        <w:r w:rsidR="00AA6B2F">
          <w:rPr>
            <w:rStyle w:val="Hyperlink"/>
            <w:webHidden/>
            <w:sz w:val="20"/>
            <w:szCs w:val="20"/>
          </w:rPr>
          <w:fldChar w:fldCharType="end"/>
        </w:r>
      </w:hyperlink>
    </w:p>
    <w:p w14:paraId="4B76ECF4" w14:textId="77777777" w:rsidR="00AA6B2F" w:rsidRDefault="002D018B" w:rsidP="00AA6B2F">
      <w:pPr>
        <w:pStyle w:val="TOC1"/>
        <w:tabs>
          <w:tab w:val="left" w:pos="709"/>
        </w:tabs>
        <w:rPr>
          <w:rFonts w:eastAsiaTheme="minorEastAsia"/>
          <w:sz w:val="20"/>
          <w:szCs w:val="20"/>
          <w:lang w:eastAsia="en-GB"/>
        </w:rPr>
      </w:pPr>
      <w:hyperlink r:id="rId33" w:anchor="_Toc91750355" w:history="1">
        <w:r w:rsidR="00AA6B2F">
          <w:rPr>
            <w:rStyle w:val="Hyperlink"/>
            <w:sz w:val="20"/>
            <w:szCs w:val="20"/>
          </w:rPr>
          <w:t>4.9</w:t>
        </w:r>
        <w:r w:rsidR="00AA6B2F">
          <w:rPr>
            <w:rStyle w:val="Hyperlink"/>
            <w:rFonts w:eastAsiaTheme="minorEastAsia"/>
            <w:sz w:val="20"/>
            <w:szCs w:val="20"/>
            <w:lang w:eastAsia="en-GB"/>
          </w:rPr>
          <w:tab/>
        </w:r>
        <w:r w:rsidR="00AA6B2F">
          <w:rPr>
            <w:rStyle w:val="Hyperlink"/>
            <w:sz w:val="20"/>
            <w:szCs w:val="20"/>
          </w:rPr>
          <w:t>D</w:t>
        </w:r>
        <w:r w:rsidR="00AA6B2F">
          <w:rPr>
            <w:rStyle w:val="Hyperlink"/>
            <w:caps w:val="0"/>
            <w:sz w:val="20"/>
            <w:szCs w:val="20"/>
          </w:rPr>
          <w:t>elegation of responsibility for obtaining consent</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_Toc91750355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11</w:t>
        </w:r>
        <w:r w:rsidR="00AA6B2F">
          <w:rPr>
            <w:rStyle w:val="Hyperlink"/>
            <w:webHidden/>
            <w:sz w:val="20"/>
            <w:szCs w:val="20"/>
          </w:rPr>
          <w:fldChar w:fldCharType="end"/>
        </w:r>
      </w:hyperlink>
    </w:p>
    <w:p w14:paraId="2C6D1C37" w14:textId="77777777" w:rsidR="00AA6B2F" w:rsidRDefault="002D018B" w:rsidP="00AA6B2F">
      <w:pPr>
        <w:pStyle w:val="TOC1"/>
        <w:tabs>
          <w:tab w:val="left" w:pos="709"/>
        </w:tabs>
        <w:rPr>
          <w:rFonts w:eastAsiaTheme="minorEastAsia"/>
          <w:sz w:val="20"/>
          <w:szCs w:val="20"/>
          <w:lang w:eastAsia="en-GB"/>
        </w:rPr>
      </w:pPr>
      <w:hyperlink r:id="rId34" w:anchor="_Toc91750356" w:history="1">
        <w:r w:rsidR="00AA6B2F">
          <w:rPr>
            <w:rStyle w:val="Hyperlink"/>
            <w:sz w:val="20"/>
            <w:szCs w:val="20"/>
          </w:rPr>
          <w:t>4.10</w:t>
        </w:r>
        <w:r w:rsidR="00AA6B2F">
          <w:rPr>
            <w:rStyle w:val="Hyperlink"/>
            <w:rFonts w:eastAsiaTheme="minorEastAsia"/>
            <w:sz w:val="20"/>
            <w:szCs w:val="20"/>
            <w:lang w:eastAsia="en-GB"/>
          </w:rPr>
          <w:tab/>
        </w:r>
        <w:r w:rsidR="00AA6B2F">
          <w:rPr>
            <w:rStyle w:val="Hyperlink"/>
            <w:sz w:val="20"/>
            <w:szCs w:val="20"/>
          </w:rPr>
          <w:t>C</w:t>
        </w:r>
        <w:r w:rsidR="00AA6B2F">
          <w:rPr>
            <w:rStyle w:val="Hyperlink"/>
            <w:caps w:val="0"/>
            <w:sz w:val="20"/>
            <w:szCs w:val="20"/>
          </w:rPr>
          <w:t>onsent for children and young people</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_Toc91750356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11</w:t>
        </w:r>
        <w:r w:rsidR="00AA6B2F">
          <w:rPr>
            <w:rStyle w:val="Hyperlink"/>
            <w:webHidden/>
            <w:sz w:val="20"/>
            <w:szCs w:val="20"/>
          </w:rPr>
          <w:fldChar w:fldCharType="end"/>
        </w:r>
      </w:hyperlink>
    </w:p>
    <w:p w14:paraId="70E04012" w14:textId="77777777" w:rsidR="00AA6B2F" w:rsidRDefault="002D018B" w:rsidP="00AA6B2F">
      <w:pPr>
        <w:pStyle w:val="TOC1"/>
        <w:tabs>
          <w:tab w:val="left" w:pos="709"/>
        </w:tabs>
        <w:rPr>
          <w:rFonts w:eastAsiaTheme="minorEastAsia"/>
          <w:sz w:val="20"/>
          <w:szCs w:val="20"/>
          <w:lang w:eastAsia="en-GB"/>
        </w:rPr>
      </w:pPr>
      <w:hyperlink r:id="rId35" w:anchor="_Toc91750357" w:history="1">
        <w:r w:rsidR="00AA6B2F">
          <w:rPr>
            <w:rStyle w:val="Hyperlink"/>
            <w:sz w:val="20"/>
            <w:szCs w:val="20"/>
          </w:rPr>
          <w:t>4.11</w:t>
        </w:r>
        <w:r w:rsidR="00AA6B2F">
          <w:rPr>
            <w:rStyle w:val="Hyperlink"/>
            <w:rFonts w:eastAsiaTheme="minorEastAsia"/>
            <w:sz w:val="20"/>
            <w:szCs w:val="20"/>
            <w:lang w:eastAsia="en-GB"/>
          </w:rPr>
          <w:tab/>
        </w:r>
        <w:r w:rsidR="00AA6B2F">
          <w:rPr>
            <w:rStyle w:val="Hyperlink"/>
            <w:sz w:val="20"/>
            <w:szCs w:val="20"/>
          </w:rPr>
          <w:t>S</w:t>
        </w:r>
        <w:r w:rsidR="00AA6B2F">
          <w:rPr>
            <w:rStyle w:val="Hyperlink"/>
            <w:caps w:val="0"/>
            <w:sz w:val="20"/>
            <w:szCs w:val="20"/>
          </w:rPr>
          <w:t>afeguarding concerns for under 16-year-olds</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_Toc91750357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12</w:t>
        </w:r>
        <w:r w:rsidR="00AA6B2F">
          <w:rPr>
            <w:rStyle w:val="Hyperlink"/>
            <w:webHidden/>
            <w:sz w:val="20"/>
            <w:szCs w:val="20"/>
          </w:rPr>
          <w:fldChar w:fldCharType="end"/>
        </w:r>
      </w:hyperlink>
    </w:p>
    <w:p w14:paraId="6606E76D" w14:textId="77777777" w:rsidR="00AA6B2F" w:rsidRDefault="002D018B" w:rsidP="00AA6B2F">
      <w:pPr>
        <w:pStyle w:val="TOC1"/>
        <w:tabs>
          <w:tab w:val="left" w:pos="709"/>
        </w:tabs>
        <w:rPr>
          <w:rFonts w:eastAsiaTheme="minorEastAsia"/>
          <w:sz w:val="20"/>
          <w:szCs w:val="20"/>
          <w:lang w:eastAsia="en-GB"/>
        </w:rPr>
      </w:pPr>
      <w:hyperlink r:id="rId36" w:anchor="_Toc91750358" w:history="1">
        <w:r w:rsidR="00AA6B2F">
          <w:rPr>
            <w:rStyle w:val="Hyperlink"/>
            <w:sz w:val="20"/>
            <w:szCs w:val="20"/>
          </w:rPr>
          <w:t>4.12</w:t>
        </w:r>
        <w:r w:rsidR="00AA6B2F">
          <w:rPr>
            <w:rStyle w:val="Hyperlink"/>
            <w:rFonts w:eastAsiaTheme="minorEastAsia"/>
            <w:sz w:val="20"/>
            <w:szCs w:val="20"/>
            <w:lang w:eastAsia="en-GB"/>
          </w:rPr>
          <w:tab/>
        </w:r>
        <w:r w:rsidR="00AA6B2F">
          <w:rPr>
            <w:rStyle w:val="Hyperlink"/>
            <w:sz w:val="20"/>
            <w:szCs w:val="20"/>
          </w:rPr>
          <w:t>C</w:t>
        </w:r>
        <w:r w:rsidR="00AA6B2F">
          <w:rPr>
            <w:rStyle w:val="Hyperlink"/>
            <w:caps w:val="0"/>
            <w:sz w:val="20"/>
            <w:szCs w:val="20"/>
          </w:rPr>
          <w:t>ontact details for young people</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_Toc91750358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12</w:t>
        </w:r>
        <w:r w:rsidR="00AA6B2F">
          <w:rPr>
            <w:rStyle w:val="Hyperlink"/>
            <w:webHidden/>
            <w:sz w:val="20"/>
            <w:szCs w:val="20"/>
          </w:rPr>
          <w:fldChar w:fldCharType="end"/>
        </w:r>
      </w:hyperlink>
    </w:p>
    <w:p w14:paraId="31E9283A" w14:textId="77777777" w:rsidR="00AA6B2F" w:rsidRDefault="002D018B" w:rsidP="00AA6B2F">
      <w:pPr>
        <w:pStyle w:val="TOC1"/>
        <w:tabs>
          <w:tab w:val="left" w:pos="709"/>
        </w:tabs>
        <w:rPr>
          <w:rFonts w:eastAsiaTheme="minorEastAsia" w:cstheme="minorBidi"/>
          <w:sz w:val="20"/>
          <w:szCs w:val="20"/>
          <w:lang w:eastAsia="en-GB"/>
        </w:rPr>
      </w:pPr>
      <w:hyperlink r:id="rId37" w:anchor="_Toc91750359" w:history="1">
        <w:r w:rsidR="00AA6B2F">
          <w:rPr>
            <w:rStyle w:val="Hyperlink"/>
            <w:sz w:val="20"/>
            <w:szCs w:val="20"/>
          </w:rPr>
          <w:t>4.13</w:t>
        </w:r>
        <w:r w:rsidR="00AA6B2F">
          <w:rPr>
            <w:rStyle w:val="Hyperlink"/>
            <w:rFonts w:eastAsiaTheme="minorEastAsia" w:cstheme="minorBidi"/>
            <w:sz w:val="20"/>
            <w:szCs w:val="20"/>
            <w:lang w:eastAsia="en-GB"/>
          </w:rPr>
          <w:tab/>
        </w:r>
        <w:r w:rsidR="00AA6B2F">
          <w:rPr>
            <w:rStyle w:val="Hyperlink"/>
            <w:sz w:val="20"/>
            <w:szCs w:val="20"/>
          </w:rPr>
          <w:t>P</w:t>
        </w:r>
        <w:r w:rsidR="00AA6B2F">
          <w:rPr>
            <w:rStyle w:val="Hyperlink"/>
            <w:caps w:val="0"/>
            <w:sz w:val="20"/>
            <w:szCs w:val="20"/>
          </w:rPr>
          <w:t>arental consent</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_Toc91750359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13</w:t>
        </w:r>
        <w:r w:rsidR="00AA6B2F">
          <w:rPr>
            <w:rStyle w:val="Hyperlink"/>
            <w:webHidden/>
            <w:sz w:val="20"/>
            <w:szCs w:val="20"/>
          </w:rPr>
          <w:fldChar w:fldCharType="end"/>
        </w:r>
      </w:hyperlink>
    </w:p>
    <w:p w14:paraId="58B8F490" w14:textId="77777777" w:rsidR="00AA6B2F" w:rsidRDefault="002D018B" w:rsidP="00AA6B2F">
      <w:pPr>
        <w:pStyle w:val="TOC1"/>
        <w:tabs>
          <w:tab w:val="left" w:pos="709"/>
        </w:tabs>
        <w:rPr>
          <w:rFonts w:eastAsiaTheme="minorEastAsia" w:cstheme="minorBidi"/>
          <w:sz w:val="20"/>
          <w:szCs w:val="20"/>
          <w:lang w:eastAsia="en-GB"/>
        </w:rPr>
      </w:pPr>
      <w:hyperlink r:id="rId38" w:anchor="_Toc91750360" w:history="1">
        <w:r w:rsidR="00AA6B2F">
          <w:rPr>
            <w:rStyle w:val="Hyperlink"/>
            <w:sz w:val="20"/>
            <w:szCs w:val="20"/>
          </w:rPr>
          <w:t>4.14</w:t>
        </w:r>
        <w:r w:rsidR="00AA6B2F">
          <w:rPr>
            <w:rStyle w:val="Hyperlink"/>
            <w:rFonts w:eastAsiaTheme="minorEastAsia" w:cstheme="minorBidi"/>
            <w:sz w:val="20"/>
            <w:szCs w:val="20"/>
            <w:lang w:eastAsia="en-GB"/>
          </w:rPr>
          <w:tab/>
        </w:r>
        <w:r w:rsidR="00AA6B2F">
          <w:rPr>
            <w:rStyle w:val="Hyperlink"/>
            <w:sz w:val="20"/>
            <w:szCs w:val="20"/>
          </w:rPr>
          <w:t>I</w:t>
        </w:r>
        <w:r w:rsidR="00AA6B2F">
          <w:rPr>
            <w:rStyle w:val="Hyperlink"/>
            <w:caps w:val="0"/>
            <w:sz w:val="20"/>
            <w:szCs w:val="20"/>
          </w:rPr>
          <w:t>mmunisations</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_Toc91750360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13</w:t>
        </w:r>
        <w:r w:rsidR="00AA6B2F">
          <w:rPr>
            <w:rStyle w:val="Hyperlink"/>
            <w:webHidden/>
            <w:sz w:val="20"/>
            <w:szCs w:val="20"/>
          </w:rPr>
          <w:fldChar w:fldCharType="end"/>
        </w:r>
      </w:hyperlink>
    </w:p>
    <w:p w14:paraId="4A8B1AB1" w14:textId="77777777" w:rsidR="00AA6B2F" w:rsidRDefault="002D018B" w:rsidP="00AA6B2F">
      <w:pPr>
        <w:pStyle w:val="TOC1"/>
        <w:tabs>
          <w:tab w:val="left" w:pos="709"/>
        </w:tabs>
        <w:rPr>
          <w:rFonts w:eastAsiaTheme="minorEastAsia" w:cstheme="minorBidi"/>
          <w:sz w:val="20"/>
          <w:szCs w:val="20"/>
          <w:lang w:eastAsia="en-GB"/>
        </w:rPr>
      </w:pPr>
      <w:hyperlink r:id="rId39" w:anchor="_Toc91750361" w:history="1">
        <w:r w:rsidR="00AA6B2F">
          <w:rPr>
            <w:rStyle w:val="Hyperlink"/>
            <w:sz w:val="20"/>
            <w:szCs w:val="20"/>
          </w:rPr>
          <w:t>4.15</w:t>
        </w:r>
        <w:r w:rsidR="00AA6B2F">
          <w:rPr>
            <w:rStyle w:val="Hyperlink"/>
            <w:rFonts w:eastAsiaTheme="minorEastAsia" w:cstheme="minorBidi"/>
            <w:sz w:val="20"/>
            <w:szCs w:val="20"/>
            <w:lang w:eastAsia="en-GB"/>
          </w:rPr>
          <w:tab/>
        </w:r>
        <w:r w:rsidR="00AA6B2F">
          <w:rPr>
            <w:rStyle w:val="Hyperlink"/>
            <w:sz w:val="20"/>
            <w:szCs w:val="20"/>
          </w:rPr>
          <w:t>L</w:t>
        </w:r>
        <w:r w:rsidR="00AA6B2F">
          <w:rPr>
            <w:rStyle w:val="Hyperlink"/>
            <w:caps w:val="0"/>
            <w:sz w:val="20"/>
            <w:szCs w:val="20"/>
          </w:rPr>
          <w:t>ack of mental capacity</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_Toc91750361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13</w:t>
        </w:r>
        <w:r w:rsidR="00AA6B2F">
          <w:rPr>
            <w:rStyle w:val="Hyperlink"/>
            <w:webHidden/>
            <w:sz w:val="20"/>
            <w:szCs w:val="20"/>
          </w:rPr>
          <w:fldChar w:fldCharType="end"/>
        </w:r>
      </w:hyperlink>
    </w:p>
    <w:p w14:paraId="558BE518" w14:textId="77777777" w:rsidR="00AA6B2F" w:rsidRDefault="002D018B" w:rsidP="00AA6B2F">
      <w:pPr>
        <w:pStyle w:val="TOC1"/>
        <w:tabs>
          <w:tab w:val="left" w:pos="709"/>
        </w:tabs>
        <w:rPr>
          <w:rStyle w:val="Hyperlink"/>
          <w:rFonts w:cs="Arial"/>
        </w:rPr>
      </w:pPr>
      <w:hyperlink r:id="rId40" w:anchor="_Toc91750362" w:history="1">
        <w:r w:rsidR="00AA6B2F">
          <w:rPr>
            <w:rStyle w:val="Hyperlink"/>
            <w:sz w:val="20"/>
            <w:szCs w:val="20"/>
          </w:rPr>
          <w:t>4.16</w:t>
        </w:r>
        <w:r w:rsidR="00AA6B2F">
          <w:rPr>
            <w:rStyle w:val="Hyperlink"/>
            <w:rFonts w:eastAsiaTheme="minorEastAsia" w:cstheme="minorBidi"/>
            <w:sz w:val="20"/>
            <w:szCs w:val="20"/>
            <w:lang w:eastAsia="en-GB"/>
          </w:rPr>
          <w:tab/>
        </w:r>
        <w:r w:rsidR="00AA6B2F">
          <w:rPr>
            <w:rStyle w:val="Hyperlink"/>
            <w:sz w:val="20"/>
            <w:szCs w:val="20"/>
          </w:rPr>
          <w:t>S</w:t>
        </w:r>
        <w:r w:rsidR="00AA6B2F">
          <w:rPr>
            <w:rStyle w:val="Hyperlink"/>
            <w:caps w:val="0"/>
            <w:sz w:val="20"/>
            <w:szCs w:val="20"/>
          </w:rPr>
          <w:t>ummary</w:t>
        </w:r>
        <w:r w:rsidR="00AA6B2F">
          <w:rPr>
            <w:rStyle w:val="Hyperlink"/>
            <w:webHidden/>
            <w:sz w:val="20"/>
            <w:szCs w:val="20"/>
          </w:rPr>
          <w:tab/>
        </w:r>
        <w:r w:rsidR="00AA6B2F">
          <w:rPr>
            <w:rStyle w:val="Hyperlink"/>
            <w:webHidden/>
            <w:sz w:val="20"/>
            <w:szCs w:val="20"/>
          </w:rPr>
          <w:fldChar w:fldCharType="begin"/>
        </w:r>
        <w:r w:rsidR="00AA6B2F">
          <w:rPr>
            <w:rStyle w:val="Hyperlink"/>
            <w:webHidden/>
            <w:sz w:val="20"/>
            <w:szCs w:val="20"/>
          </w:rPr>
          <w:instrText xml:space="preserve"> PAGEREF _Toc91750362 \h </w:instrText>
        </w:r>
        <w:r w:rsidR="00AA6B2F">
          <w:rPr>
            <w:rStyle w:val="Hyperlink"/>
            <w:webHidden/>
            <w:sz w:val="20"/>
            <w:szCs w:val="20"/>
          </w:rPr>
        </w:r>
        <w:r w:rsidR="00AA6B2F">
          <w:rPr>
            <w:rStyle w:val="Hyperlink"/>
            <w:webHidden/>
            <w:sz w:val="20"/>
            <w:szCs w:val="20"/>
          </w:rPr>
          <w:fldChar w:fldCharType="separate"/>
        </w:r>
        <w:r w:rsidR="00AA6B2F">
          <w:rPr>
            <w:rStyle w:val="Hyperlink"/>
            <w:webHidden/>
            <w:sz w:val="20"/>
            <w:szCs w:val="20"/>
          </w:rPr>
          <w:t>14</w:t>
        </w:r>
        <w:r w:rsidR="00AA6B2F">
          <w:rPr>
            <w:rStyle w:val="Hyperlink"/>
            <w:webHidden/>
            <w:sz w:val="20"/>
            <w:szCs w:val="20"/>
          </w:rPr>
          <w:fldChar w:fldCharType="end"/>
        </w:r>
      </w:hyperlink>
    </w:p>
    <w:p w14:paraId="72E0C007" w14:textId="77777777" w:rsidR="00AA6B2F" w:rsidRDefault="00AA6B2F" w:rsidP="00AA6B2F">
      <w:pPr>
        <w:rPr>
          <w:noProof/>
          <w:sz w:val="14"/>
        </w:rPr>
      </w:pPr>
    </w:p>
    <w:p w14:paraId="3333C57A" w14:textId="77777777" w:rsidR="00AA6B2F" w:rsidRDefault="002D018B" w:rsidP="00AA6B2F">
      <w:pPr>
        <w:pStyle w:val="TOC1"/>
        <w:rPr>
          <w:rFonts w:asciiTheme="minorHAnsi" w:eastAsiaTheme="minorEastAsia" w:hAnsiTheme="minorHAnsi" w:cstheme="minorBidi"/>
          <w:noProof/>
          <w:sz w:val="22"/>
          <w:szCs w:val="22"/>
          <w:lang w:eastAsia="en-GB"/>
        </w:rPr>
      </w:pPr>
      <w:hyperlink r:id="rId41" w:anchor="_Toc91750363" w:history="1">
        <w:r w:rsidR="00AA6B2F">
          <w:rPr>
            <w:rStyle w:val="Hyperlink"/>
          </w:rPr>
          <w:t>A</w:t>
        </w:r>
        <w:r w:rsidR="00AA6B2F">
          <w:rPr>
            <w:rStyle w:val="Hyperlink"/>
            <w:caps w:val="0"/>
          </w:rPr>
          <w:t>nnex</w:t>
        </w:r>
        <w:r w:rsidR="00AA6B2F">
          <w:rPr>
            <w:rStyle w:val="Hyperlink"/>
          </w:rPr>
          <w:t xml:space="preserve"> A – C</w:t>
        </w:r>
        <w:r w:rsidR="00AA6B2F">
          <w:rPr>
            <w:rStyle w:val="Hyperlink"/>
            <w:caps w:val="0"/>
          </w:rPr>
          <w:t>onsent form</w:t>
        </w:r>
        <w:r w:rsidR="00AA6B2F">
          <w:rPr>
            <w:rStyle w:val="Hyperlink"/>
            <w:webHidden/>
          </w:rPr>
          <w:tab/>
        </w:r>
        <w:r w:rsidR="00AA6B2F">
          <w:rPr>
            <w:rStyle w:val="Hyperlink"/>
            <w:webHidden/>
          </w:rPr>
          <w:fldChar w:fldCharType="begin"/>
        </w:r>
        <w:r w:rsidR="00AA6B2F">
          <w:rPr>
            <w:rStyle w:val="Hyperlink"/>
            <w:webHidden/>
          </w:rPr>
          <w:instrText xml:space="preserve"> PAGEREF _Toc91750363 \h </w:instrText>
        </w:r>
        <w:r w:rsidR="00AA6B2F">
          <w:rPr>
            <w:rStyle w:val="Hyperlink"/>
            <w:webHidden/>
          </w:rPr>
        </w:r>
        <w:r w:rsidR="00AA6B2F">
          <w:rPr>
            <w:rStyle w:val="Hyperlink"/>
            <w:webHidden/>
          </w:rPr>
          <w:fldChar w:fldCharType="separate"/>
        </w:r>
        <w:r w:rsidR="00AA6B2F">
          <w:rPr>
            <w:rStyle w:val="Hyperlink"/>
            <w:webHidden/>
          </w:rPr>
          <w:t>15</w:t>
        </w:r>
        <w:r w:rsidR="00AA6B2F">
          <w:rPr>
            <w:rStyle w:val="Hyperlink"/>
            <w:webHidden/>
          </w:rPr>
          <w:fldChar w:fldCharType="end"/>
        </w:r>
      </w:hyperlink>
    </w:p>
    <w:p w14:paraId="642BB9C0" w14:textId="77777777" w:rsidR="00AA6B2F" w:rsidRDefault="00AA6B2F" w:rsidP="00AA6B2F">
      <w:pPr>
        <w:pStyle w:val="TOC1"/>
        <w:rPr>
          <w:rFonts w:ascii="Arial" w:hAnsi="Arial" w:cs="Arial"/>
        </w:rPr>
      </w:pPr>
      <w:r>
        <w:rPr>
          <w:sz w:val="20"/>
        </w:rPr>
        <w:fldChar w:fldCharType="end"/>
      </w:r>
      <w:r>
        <w:br w:type="page"/>
      </w:r>
    </w:p>
    <w:p w14:paraId="54148542" w14:textId="29C41A1B" w:rsidR="00CD211E" w:rsidRPr="00AA6B2F" w:rsidRDefault="00CD211E" w:rsidP="00AA6B2F">
      <w:pPr>
        <w:pStyle w:val="TOC1"/>
        <w:tabs>
          <w:tab w:val="left" w:pos="480"/>
          <w:tab w:val="right" w:pos="9010"/>
        </w:tabs>
        <w:rPr>
          <w:noProof/>
        </w:rPr>
      </w:pPr>
      <w:r w:rsidRPr="009D3BBE">
        <w:rPr>
          <w:rFonts w:ascii="Arial" w:hAnsi="Arial" w:cs="Arial"/>
          <w:b w:val="0"/>
          <w:sz w:val="20"/>
          <w:szCs w:val="28"/>
        </w:rPr>
        <w:lastRenderedPageBreak/>
        <w:fldChar w:fldCharType="begin"/>
      </w:r>
      <w:r w:rsidRPr="009D3BBE">
        <w:rPr>
          <w:rFonts w:ascii="Arial" w:hAnsi="Arial" w:cs="Arial"/>
          <w:b w:val="0"/>
          <w:sz w:val="20"/>
          <w:szCs w:val="28"/>
        </w:rPr>
        <w:instrText xml:space="preserve"> TOC \o "1-3" \h \z \u </w:instrText>
      </w:r>
      <w:r w:rsidRPr="009D3BBE">
        <w:rPr>
          <w:rFonts w:ascii="Arial" w:hAnsi="Arial" w:cs="Arial"/>
          <w:b w:val="0"/>
          <w:sz w:val="20"/>
          <w:szCs w:val="28"/>
        </w:rPr>
        <w:fldChar w:fldCharType="end"/>
      </w:r>
    </w:p>
    <w:p w14:paraId="396DE6B7" w14:textId="4C797B67" w:rsidR="00CD211E" w:rsidRPr="00AA6B2F" w:rsidRDefault="00CD211E" w:rsidP="00AA6B2F">
      <w:pPr>
        <w:pStyle w:val="Heading1"/>
      </w:pPr>
      <w:bookmarkStart w:id="0" w:name="_Toc494997209"/>
      <w:r>
        <w:t>Introduction</w:t>
      </w:r>
      <w:bookmarkEnd w:id="0"/>
    </w:p>
    <w:p w14:paraId="0BA35458" w14:textId="0A8779D0" w:rsidR="00CD211E" w:rsidRDefault="00CD211E" w:rsidP="00CD211E">
      <w:pPr>
        <w:rPr>
          <w:lang w:val="en-US"/>
        </w:rPr>
      </w:pPr>
    </w:p>
    <w:p w14:paraId="1F9AD388" w14:textId="77777777" w:rsidR="00AA6B2F" w:rsidRDefault="00AA6B2F" w:rsidP="00AA6B2F"/>
    <w:p w14:paraId="11B1BF98" w14:textId="77777777" w:rsidR="00AA6B2F" w:rsidRDefault="00AA6B2F" w:rsidP="00AA6B2F">
      <w:pPr>
        <w:rPr>
          <w:rFonts w:ascii="Arial" w:hAnsi="Arial" w:cs="Arial"/>
          <w:sz w:val="22"/>
          <w:szCs w:val="22"/>
        </w:rPr>
      </w:pPr>
      <w:r>
        <w:rPr>
          <w:rFonts w:ascii="Arial" w:hAnsi="Arial" w:cs="Arial"/>
          <w:sz w:val="22"/>
          <w:szCs w:val="22"/>
        </w:rPr>
        <w:t>The purpose of this guidance document is to advise all staff of the principle of consent and that it is an important part of medical ethics based on the concept of the person and the fundamental dignity and equality of human beings. The notion of patients’ rights was developed from the Universal Declaration of Human Rights which was first formalised in 1948.</w:t>
      </w:r>
      <w:r>
        <w:rPr>
          <w:rStyle w:val="FootnoteReference"/>
          <w:rFonts w:ascii="Arial" w:hAnsi="Arial" w:cs="Arial"/>
        </w:rPr>
        <w:footnoteReference w:id="1"/>
      </w:r>
    </w:p>
    <w:p w14:paraId="6B0FE85F" w14:textId="77777777" w:rsidR="00AA6B2F" w:rsidRDefault="00AA6B2F" w:rsidP="00AA6B2F">
      <w:pPr>
        <w:rPr>
          <w:rStyle w:val="Strong"/>
          <w:b w:val="0"/>
          <w:color w:val="000000" w:themeColor="text1"/>
        </w:rPr>
      </w:pPr>
    </w:p>
    <w:p w14:paraId="5C5264E8" w14:textId="30FCD7ED" w:rsidR="00AA6B2F" w:rsidRDefault="00AA6B2F" w:rsidP="00AA6B2F">
      <w:r>
        <w:rPr>
          <w:rStyle w:val="Strong"/>
          <w:rFonts w:ascii="Arial" w:hAnsi="Arial" w:cs="Arial"/>
          <w:color w:val="000000" w:themeColor="text1"/>
          <w:sz w:val="22"/>
          <w:szCs w:val="22"/>
        </w:rPr>
        <w:t xml:space="preserve">At Hall Green Surgery, it is acknowledged that consent to treatment is the principle that a person must give permission before they receive any type of medical treatment, </w:t>
      </w:r>
      <w:proofErr w:type="gramStart"/>
      <w:r>
        <w:rPr>
          <w:rStyle w:val="Strong"/>
          <w:rFonts w:ascii="Arial" w:hAnsi="Arial" w:cs="Arial"/>
          <w:color w:val="000000" w:themeColor="text1"/>
          <w:sz w:val="22"/>
          <w:szCs w:val="22"/>
        </w:rPr>
        <w:t>test</w:t>
      </w:r>
      <w:proofErr w:type="gramEnd"/>
      <w:r>
        <w:rPr>
          <w:rStyle w:val="Strong"/>
          <w:rFonts w:ascii="Arial" w:hAnsi="Arial" w:cs="Arial"/>
          <w:color w:val="000000" w:themeColor="text1"/>
          <w:sz w:val="22"/>
          <w:szCs w:val="22"/>
        </w:rPr>
        <w:t> or examination. This must be done </w:t>
      </w:r>
      <w:proofErr w:type="gramStart"/>
      <w:r>
        <w:rPr>
          <w:rStyle w:val="Strong"/>
          <w:rFonts w:ascii="Arial" w:hAnsi="Arial" w:cs="Arial"/>
          <w:color w:val="000000" w:themeColor="text1"/>
          <w:sz w:val="22"/>
          <w:szCs w:val="22"/>
        </w:rPr>
        <w:t>on the basis of</w:t>
      </w:r>
      <w:proofErr w:type="gramEnd"/>
      <w:r>
        <w:rPr>
          <w:rStyle w:val="Strong"/>
          <w:rFonts w:ascii="Arial" w:hAnsi="Arial" w:cs="Arial"/>
          <w:color w:val="000000" w:themeColor="text1"/>
          <w:sz w:val="22"/>
          <w:szCs w:val="22"/>
        </w:rPr>
        <w:t> an explanation by a clinician.</w:t>
      </w:r>
      <w:r>
        <w:rPr>
          <w:rFonts w:ascii="Arial" w:hAnsi="Arial" w:cs="Arial"/>
          <w:b/>
          <w:color w:val="000000" w:themeColor="text1"/>
          <w:sz w:val="22"/>
          <w:szCs w:val="22"/>
        </w:rPr>
        <w:t xml:space="preserve"> </w:t>
      </w:r>
      <w:r>
        <w:rPr>
          <w:rFonts w:ascii="Arial" w:hAnsi="Arial" w:cs="Arial"/>
          <w:color w:val="000000" w:themeColor="text1"/>
          <w:sz w:val="22"/>
          <w:szCs w:val="22"/>
        </w:rPr>
        <w:t>Consent from a patient is needed regardless of the procedure.</w:t>
      </w:r>
    </w:p>
    <w:p w14:paraId="5FF5F929" w14:textId="77777777" w:rsidR="00AA6B2F" w:rsidRDefault="00AA6B2F" w:rsidP="00AA6B2F">
      <w:pPr>
        <w:rPr>
          <w:rFonts w:ascii="Arial" w:hAnsi="Arial" w:cs="Arial"/>
          <w:color w:val="000000" w:themeColor="text1"/>
          <w:sz w:val="22"/>
          <w:szCs w:val="22"/>
        </w:rPr>
      </w:pPr>
    </w:p>
    <w:p w14:paraId="7A6494C6" w14:textId="77777777" w:rsidR="00AA6B2F" w:rsidRDefault="00AA6B2F" w:rsidP="00AA6B2F">
      <w:pPr>
        <w:rPr>
          <w:rFonts w:ascii="Arial" w:hAnsi="Arial" w:cs="Arial"/>
          <w:color w:val="000000" w:themeColor="text1"/>
          <w:sz w:val="22"/>
          <w:szCs w:val="22"/>
        </w:rPr>
      </w:pPr>
      <w:r>
        <w:rPr>
          <w:rFonts w:ascii="Arial" w:hAnsi="Arial" w:cs="Arial"/>
          <w:color w:val="000000" w:themeColor="text1"/>
          <w:sz w:val="22"/>
          <w:szCs w:val="22"/>
        </w:rPr>
        <w:t>This policy should be read in conjunction with the following:</w:t>
      </w:r>
      <w:r>
        <w:rPr>
          <w:rFonts w:ascii="Arial" w:hAnsi="Arial" w:cs="Arial"/>
          <w:color w:val="000000" w:themeColor="text1"/>
          <w:sz w:val="22"/>
          <w:szCs w:val="22"/>
        </w:rPr>
        <w:br/>
      </w:r>
    </w:p>
    <w:p w14:paraId="7FAC6BEF" w14:textId="77777777" w:rsidR="00AA6B2F" w:rsidRDefault="002D018B" w:rsidP="00AA6B2F">
      <w:pPr>
        <w:pStyle w:val="ListParagraph"/>
        <w:numPr>
          <w:ilvl w:val="0"/>
          <w:numId w:val="18"/>
        </w:numPr>
        <w:rPr>
          <w:bCs/>
        </w:rPr>
      </w:pPr>
      <w:hyperlink r:id="rId42" w:history="1">
        <w:r w:rsidR="00AA6B2F">
          <w:rPr>
            <w:rStyle w:val="Hyperlink"/>
            <w:rFonts w:ascii="Arial" w:hAnsi="Arial" w:cs="Arial"/>
          </w:rPr>
          <w:t>DOH – Reference Guide to Consent for Examination or Treatment (2nd Ed.)</w:t>
        </w:r>
      </w:hyperlink>
    </w:p>
    <w:p w14:paraId="14B5A158" w14:textId="77777777" w:rsidR="00AA6B2F" w:rsidRDefault="002D018B" w:rsidP="00AA6B2F">
      <w:pPr>
        <w:pStyle w:val="ListParagraph"/>
        <w:numPr>
          <w:ilvl w:val="0"/>
          <w:numId w:val="18"/>
        </w:numPr>
        <w:rPr>
          <w:rFonts w:ascii="Arial" w:hAnsi="Arial" w:cs="Arial"/>
          <w:bCs/>
          <w:sz w:val="22"/>
          <w:szCs w:val="22"/>
        </w:rPr>
      </w:pPr>
      <w:hyperlink r:id="rId43" w:history="1">
        <w:r w:rsidR="00AA6B2F">
          <w:rPr>
            <w:rStyle w:val="Hyperlink"/>
            <w:rFonts w:ascii="Arial" w:hAnsi="Arial" w:cs="Arial"/>
            <w:bCs/>
          </w:rPr>
          <w:t>Royal College of Surgeons for England – Consent</w:t>
        </w:r>
      </w:hyperlink>
    </w:p>
    <w:p w14:paraId="16FB67A4" w14:textId="77777777" w:rsidR="00AA6B2F" w:rsidRDefault="002D018B" w:rsidP="00AA6B2F">
      <w:pPr>
        <w:pStyle w:val="ListParagraph"/>
        <w:numPr>
          <w:ilvl w:val="0"/>
          <w:numId w:val="18"/>
        </w:numPr>
        <w:rPr>
          <w:rFonts w:ascii="Arial" w:hAnsi="Arial" w:cs="Arial"/>
          <w:bCs/>
          <w:sz w:val="22"/>
          <w:szCs w:val="22"/>
        </w:rPr>
      </w:pPr>
      <w:hyperlink r:id="rId44" w:history="1">
        <w:r w:rsidR="00AA6B2F">
          <w:rPr>
            <w:rStyle w:val="Hyperlink"/>
            <w:rFonts w:ascii="Arial" w:hAnsi="Arial" w:cs="Arial"/>
            <w:bCs/>
          </w:rPr>
          <w:t xml:space="preserve">GP </w:t>
        </w:r>
        <w:proofErr w:type="spellStart"/>
        <w:r w:rsidR="00AA6B2F">
          <w:rPr>
            <w:rStyle w:val="Hyperlink"/>
            <w:rFonts w:ascii="Arial" w:hAnsi="Arial" w:cs="Arial"/>
            <w:bCs/>
          </w:rPr>
          <w:t>Mythbuster</w:t>
        </w:r>
        <w:proofErr w:type="spellEnd"/>
        <w:r w:rsidR="00AA6B2F">
          <w:rPr>
            <w:rStyle w:val="Hyperlink"/>
            <w:rFonts w:ascii="Arial" w:hAnsi="Arial" w:cs="Arial"/>
            <w:bCs/>
          </w:rPr>
          <w:t xml:space="preserve"> – Gillick competency and Fraser guidelines</w:t>
        </w:r>
      </w:hyperlink>
    </w:p>
    <w:p w14:paraId="45C3BAAC" w14:textId="77777777" w:rsidR="00AA6B2F" w:rsidRDefault="002D018B" w:rsidP="00AA6B2F">
      <w:pPr>
        <w:pStyle w:val="ListParagraph"/>
        <w:numPr>
          <w:ilvl w:val="0"/>
          <w:numId w:val="18"/>
        </w:numPr>
        <w:rPr>
          <w:rFonts w:ascii="Arial" w:hAnsi="Arial" w:cs="Arial"/>
          <w:b/>
          <w:sz w:val="22"/>
          <w:szCs w:val="22"/>
        </w:rPr>
      </w:pPr>
      <w:hyperlink r:id="rId45" w:history="1">
        <w:r w:rsidR="00AA6B2F">
          <w:rPr>
            <w:rStyle w:val="Hyperlink"/>
            <w:rFonts w:ascii="Arial" w:hAnsi="Arial" w:cs="Arial"/>
          </w:rPr>
          <w:t xml:space="preserve">GP </w:t>
        </w:r>
        <w:proofErr w:type="spellStart"/>
        <w:r w:rsidR="00AA6B2F">
          <w:rPr>
            <w:rStyle w:val="Hyperlink"/>
            <w:rFonts w:ascii="Arial" w:hAnsi="Arial" w:cs="Arial"/>
          </w:rPr>
          <w:t>Mythbuster</w:t>
        </w:r>
        <w:proofErr w:type="spellEnd"/>
        <w:r w:rsidR="00AA6B2F">
          <w:rPr>
            <w:rStyle w:val="Hyperlink"/>
            <w:rFonts w:ascii="Arial" w:hAnsi="Arial" w:cs="Arial"/>
          </w:rPr>
          <w:t xml:space="preserve"> 49 – Consent for Minor Surgery in GP surgeries</w:t>
        </w:r>
      </w:hyperlink>
    </w:p>
    <w:p w14:paraId="00DD25E4" w14:textId="77777777" w:rsidR="00AA6B2F" w:rsidRDefault="00AA6B2F" w:rsidP="00AA6B2F">
      <w:pPr>
        <w:pStyle w:val="Heading2"/>
        <w:spacing w:line="256" w:lineRule="auto"/>
        <w:rPr>
          <w:rFonts w:ascii="Arial" w:hAnsi="Arial" w:cs="Arial"/>
          <w:sz w:val="24"/>
          <w:szCs w:val="24"/>
          <w:lang w:val="en-GB"/>
        </w:rPr>
      </w:pPr>
      <w:bookmarkStart w:id="1" w:name="_Toc43391042"/>
      <w:bookmarkStart w:id="2" w:name="_Toc43391296"/>
      <w:bookmarkStart w:id="3" w:name="_Toc91750327"/>
      <w:bookmarkEnd w:id="1"/>
      <w:bookmarkEnd w:id="2"/>
      <w:r>
        <w:rPr>
          <w:rFonts w:ascii="Arial" w:hAnsi="Arial" w:cs="Arial"/>
          <w:sz w:val="24"/>
          <w:szCs w:val="24"/>
          <w:lang w:val="en-GB"/>
        </w:rPr>
        <w:t>Status</w:t>
      </w:r>
      <w:bookmarkEnd w:id="3"/>
    </w:p>
    <w:p w14:paraId="3F03414B" w14:textId="77777777" w:rsidR="00AA6B2F" w:rsidRDefault="00AA6B2F" w:rsidP="00AA6B2F">
      <w:pPr>
        <w:rPr>
          <w:rFonts w:cstheme="minorHAnsi"/>
        </w:rPr>
      </w:pPr>
    </w:p>
    <w:p w14:paraId="7AECAD31" w14:textId="77777777" w:rsidR="00AA6B2F" w:rsidRDefault="00AA6B2F" w:rsidP="00AA6B2F">
      <w:pPr>
        <w:rPr>
          <w:rFonts w:ascii="Arial" w:hAnsi="Arial" w:cs="Arial"/>
          <w:sz w:val="22"/>
          <w:szCs w:val="22"/>
        </w:rPr>
      </w:pPr>
      <w:r>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p>
    <w:p w14:paraId="64BD1906" w14:textId="77777777" w:rsidR="00AA6B2F" w:rsidRDefault="00AA6B2F" w:rsidP="00AA6B2F">
      <w:pPr>
        <w:pStyle w:val="Heading2"/>
        <w:spacing w:line="256" w:lineRule="auto"/>
        <w:rPr>
          <w:rFonts w:ascii="Arial" w:hAnsi="Arial" w:cs="Arial"/>
          <w:sz w:val="24"/>
          <w:szCs w:val="24"/>
          <w:lang w:val="en-GB"/>
        </w:rPr>
      </w:pPr>
      <w:bookmarkStart w:id="4" w:name="_Toc91750328"/>
      <w:r>
        <w:rPr>
          <w:rFonts w:ascii="Arial" w:hAnsi="Arial" w:cs="Arial"/>
          <w:sz w:val="24"/>
          <w:szCs w:val="24"/>
          <w:lang w:val="en-GB"/>
        </w:rPr>
        <w:t>KLOE (England only)</w:t>
      </w:r>
      <w:bookmarkEnd w:id="4"/>
    </w:p>
    <w:p w14:paraId="4575EE7F" w14:textId="77777777" w:rsidR="00AA6B2F" w:rsidRDefault="00AA6B2F" w:rsidP="00AA6B2F"/>
    <w:p w14:paraId="584B4684" w14:textId="6F0A833F" w:rsidR="00AA6B2F" w:rsidRDefault="00AA6B2F" w:rsidP="00AA6B2F">
      <w:pPr>
        <w:rPr>
          <w:rFonts w:ascii="Arial" w:hAnsi="Arial" w:cs="Arial"/>
          <w:sz w:val="22"/>
          <w:szCs w:val="22"/>
        </w:rPr>
      </w:pPr>
      <w:r>
        <w:rPr>
          <w:rFonts w:ascii="Arial" w:hAnsi="Arial" w:cs="Arial"/>
          <w:sz w:val="22"/>
          <w:szCs w:val="22"/>
        </w:rPr>
        <w:t>The Care Quality Commission would expect any primary care organisation to have a policy to support this process and this should be used as evidence of compliance against CQC Key Lines of Enquiry (KLOE)</w:t>
      </w:r>
      <w:r>
        <w:rPr>
          <w:rStyle w:val="FootnoteReference"/>
          <w:rFonts w:ascii="Arial" w:hAnsi="Arial" w:cs="Arial"/>
        </w:rPr>
        <w:footnoteReference w:id="2"/>
      </w:r>
      <w:r>
        <w:rPr>
          <w:rFonts w:ascii="Arial" w:hAnsi="Arial" w:cs="Arial"/>
          <w:sz w:val="22"/>
          <w:szCs w:val="22"/>
        </w:rPr>
        <w:t xml:space="preserve">. Specifically, Hall Green Surgery will need to answer the CQC key questions on “Safe”, “Effective” and “Caring” </w:t>
      </w:r>
    </w:p>
    <w:p w14:paraId="5ADD21A0" w14:textId="77777777" w:rsidR="00AA6B2F" w:rsidRDefault="00AA6B2F" w:rsidP="00AA6B2F">
      <w:pPr>
        <w:rPr>
          <w:rFonts w:ascii="Arial" w:hAnsi="Arial" w:cs="Arial"/>
          <w:sz w:val="22"/>
          <w:szCs w:val="22"/>
        </w:rPr>
      </w:pPr>
    </w:p>
    <w:p w14:paraId="705FD1A3" w14:textId="77777777" w:rsidR="00AA6B2F" w:rsidRDefault="00AA6B2F" w:rsidP="00AA6B2F">
      <w:pPr>
        <w:rPr>
          <w:rFonts w:ascii="Arial" w:hAnsi="Arial" w:cs="Arial"/>
          <w:sz w:val="22"/>
          <w:szCs w:val="22"/>
        </w:rPr>
      </w:pPr>
      <w:r>
        <w:rPr>
          <w:rFonts w:ascii="Arial" w:hAnsi="Arial" w:cs="Arial"/>
          <w:sz w:val="22"/>
          <w:szCs w:val="22"/>
        </w:rPr>
        <w:t xml:space="preserve">The following is the CQC definition of Safe: </w:t>
      </w:r>
    </w:p>
    <w:p w14:paraId="26FA443E" w14:textId="77777777" w:rsidR="00AA6B2F" w:rsidRDefault="00AA6B2F" w:rsidP="00AA6B2F">
      <w:pPr>
        <w:rPr>
          <w:rFonts w:ascii="Arial" w:hAnsi="Arial" w:cs="Arial"/>
          <w:sz w:val="22"/>
          <w:szCs w:val="22"/>
        </w:rPr>
      </w:pPr>
    </w:p>
    <w:p w14:paraId="6A18B2E5" w14:textId="77777777" w:rsidR="00AA6B2F" w:rsidRDefault="00AA6B2F" w:rsidP="00AA6B2F">
      <w:pPr>
        <w:rPr>
          <w:rFonts w:ascii="Arial" w:hAnsi="Arial" w:cs="Arial"/>
          <w:i/>
          <w:iCs/>
          <w:sz w:val="22"/>
          <w:szCs w:val="22"/>
        </w:rPr>
      </w:pPr>
      <w:r>
        <w:rPr>
          <w:rFonts w:ascii="Arial" w:hAnsi="Arial" w:cs="Arial"/>
          <w:i/>
          <w:iCs/>
          <w:sz w:val="22"/>
          <w:szCs w:val="22"/>
        </w:rPr>
        <w:t xml:space="preserve">By safe, we mean people are protected from abuse* and avoidable harm. *Abuse can be physical, sexual, </w:t>
      </w:r>
      <w:proofErr w:type="gramStart"/>
      <w:r>
        <w:rPr>
          <w:rFonts w:ascii="Arial" w:hAnsi="Arial" w:cs="Arial"/>
          <w:i/>
          <w:iCs/>
          <w:sz w:val="22"/>
          <w:szCs w:val="22"/>
        </w:rPr>
        <w:t>mental</w:t>
      </w:r>
      <w:proofErr w:type="gramEnd"/>
      <w:r>
        <w:rPr>
          <w:rFonts w:ascii="Arial" w:hAnsi="Arial" w:cs="Arial"/>
          <w:i/>
          <w:iCs/>
          <w:sz w:val="22"/>
          <w:szCs w:val="22"/>
        </w:rPr>
        <w:t xml:space="preserve"> or psychological, financial, neglect, institutional or discriminatory abuse.</w:t>
      </w:r>
    </w:p>
    <w:p w14:paraId="5093FA1F" w14:textId="77777777" w:rsidR="00AA6B2F" w:rsidRDefault="00AA6B2F" w:rsidP="00AA6B2F">
      <w:pPr>
        <w:rPr>
          <w:rFonts w:ascii="Arial" w:hAnsi="Arial" w:cs="Arial"/>
          <w:sz w:val="22"/>
          <w:szCs w:val="22"/>
        </w:rPr>
      </w:pPr>
    </w:p>
    <w:tbl>
      <w:tblPr>
        <w:tblStyle w:val="TableGrid"/>
        <w:tblW w:w="0" w:type="auto"/>
        <w:tblInd w:w="108" w:type="dxa"/>
        <w:tblLook w:val="04A0" w:firstRow="1" w:lastRow="0" w:firstColumn="1" w:lastColumn="0" w:noHBand="0" w:noVBand="1"/>
      </w:tblPr>
      <w:tblGrid>
        <w:gridCol w:w="2439"/>
        <w:gridCol w:w="5743"/>
      </w:tblGrid>
      <w:tr w:rsidR="00AA6B2F" w14:paraId="3DA5B920" w14:textId="77777777" w:rsidTr="00AA6B2F">
        <w:tc>
          <w:tcPr>
            <w:tcW w:w="243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7EF4590" w14:textId="77777777" w:rsidR="00AA6B2F" w:rsidRDefault="00AA6B2F">
            <w:pPr>
              <w:spacing w:before="80" w:after="80"/>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S1</w:t>
            </w:r>
          </w:p>
        </w:tc>
        <w:tc>
          <w:tcPr>
            <w:tcW w:w="5743" w:type="dxa"/>
            <w:tcBorders>
              <w:top w:val="single" w:sz="4" w:space="0" w:color="auto"/>
              <w:left w:val="single" w:sz="4" w:space="0" w:color="auto"/>
              <w:bottom w:val="single" w:sz="4" w:space="0" w:color="auto"/>
              <w:right w:val="single" w:sz="4" w:space="0" w:color="auto"/>
            </w:tcBorders>
            <w:hideMark/>
          </w:tcPr>
          <w:p w14:paraId="114C7809" w14:textId="77777777" w:rsidR="00AA6B2F" w:rsidRDefault="00AA6B2F">
            <w:pPr>
              <w:spacing w:before="80" w:after="80"/>
              <w:rPr>
                <w:rFonts w:ascii="Arial" w:hAnsi="Arial" w:cs="Arial"/>
                <w:sz w:val="22"/>
                <w:szCs w:val="22"/>
              </w:rPr>
            </w:pPr>
            <w:r>
              <w:rPr>
                <w:rFonts w:ascii="Arial" w:hAnsi="Arial" w:cs="Arial"/>
                <w:sz w:val="22"/>
                <w:szCs w:val="22"/>
              </w:rPr>
              <w:t>How do systems, processes and practices keep people safe and safeguarded from abuse?</w:t>
            </w:r>
          </w:p>
        </w:tc>
      </w:tr>
      <w:tr w:rsidR="00AA6B2F" w14:paraId="31A0E27C" w14:textId="77777777" w:rsidTr="00AA6B2F">
        <w:tc>
          <w:tcPr>
            <w:tcW w:w="243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9BBE1E2" w14:textId="77777777" w:rsidR="00AA6B2F" w:rsidRDefault="00AA6B2F">
            <w:pPr>
              <w:spacing w:before="80" w:after="80"/>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S3</w:t>
            </w:r>
          </w:p>
        </w:tc>
        <w:tc>
          <w:tcPr>
            <w:tcW w:w="5743" w:type="dxa"/>
            <w:tcBorders>
              <w:top w:val="single" w:sz="4" w:space="0" w:color="auto"/>
              <w:left w:val="single" w:sz="4" w:space="0" w:color="auto"/>
              <w:bottom w:val="single" w:sz="4" w:space="0" w:color="auto"/>
              <w:right w:val="single" w:sz="4" w:space="0" w:color="auto"/>
            </w:tcBorders>
            <w:hideMark/>
          </w:tcPr>
          <w:p w14:paraId="57D56C19" w14:textId="77777777" w:rsidR="00AA6B2F" w:rsidRDefault="00AA6B2F">
            <w:pPr>
              <w:spacing w:before="80" w:after="80"/>
              <w:rPr>
                <w:rFonts w:ascii="Arial" w:hAnsi="Arial" w:cs="Arial"/>
                <w:sz w:val="22"/>
                <w:szCs w:val="22"/>
              </w:rPr>
            </w:pPr>
            <w:r>
              <w:rPr>
                <w:rFonts w:ascii="Arial" w:hAnsi="Arial" w:cs="Arial"/>
                <w:sz w:val="22"/>
                <w:szCs w:val="22"/>
              </w:rPr>
              <w:t>Do staff have all the information they need to deliver safe care and treatment to people?</w:t>
            </w:r>
          </w:p>
        </w:tc>
      </w:tr>
    </w:tbl>
    <w:p w14:paraId="041D7C01" w14:textId="77777777" w:rsidR="00AA6B2F" w:rsidRDefault="00AA6B2F" w:rsidP="00AA6B2F">
      <w:pPr>
        <w:rPr>
          <w:rFonts w:ascii="Arial" w:hAnsi="Arial" w:cs="Arial"/>
          <w:sz w:val="22"/>
          <w:szCs w:val="22"/>
        </w:rPr>
      </w:pPr>
    </w:p>
    <w:p w14:paraId="7A2AD461" w14:textId="77777777" w:rsidR="00AA6B2F" w:rsidRDefault="00AA6B2F" w:rsidP="00AA6B2F">
      <w:pPr>
        <w:rPr>
          <w:rFonts w:ascii="Arial" w:hAnsi="Arial" w:cs="Arial"/>
          <w:sz w:val="22"/>
          <w:szCs w:val="22"/>
        </w:rPr>
      </w:pPr>
      <w:r>
        <w:rPr>
          <w:rFonts w:ascii="Arial" w:hAnsi="Arial" w:cs="Arial"/>
          <w:sz w:val="22"/>
          <w:szCs w:val="22"/>
        </w:rPr>
        <w:t>The following is the CQC definition of Effective:</w:t>
      </w:r>
    </w:p>
    <w:p w14:paraId="582278E9" w14:textId="77777777" w:rsidR="00AA6B2F" w:rsidRDefault="00AA6B2F" w:rsidP="00AA6B2F">
      <w:pPr>
        <w:rPr>
          <w:rFonts w:ascii="Arial" w:hAnsi="Arial" w:cs="Arial"/>
          <w:sz w:val="22"/>
          <w:szCs w:val="22"/>
        </w:rPr>
      </w:pPr>
    </w:p>
    <w:p w14:paraId="3D855D3C" w14:textId="77777777" w:rsidR="00AA6B2F" w:rsidRDefault="00AA6B2F" w:rsidP="00AA6B2F">
      <w:pPr>
        <w:rPr>
          <w:rFonts w:ascii="Arial" w:hAnsi="Arial" w:cs="Arial"/>
          <w:i/>
          <w:iCs/>
          <w:sz w:val="22"/>
          <w:szCs w:val="22"/>
        </w:rPr>
      </w:pPr>
      <w:r>
        <w:rPr>
          <w:rFonts w:ascii="Arial" w:hAnsi="Arial" w:cs="Arial"/>
          <w:i/>
          <w:iCs/>
          <w:sz w:val="22"/>
          <w:szCs w:val="22"/>
        </w:rPr>
        <w:t xml:space="preserve">By effective, we mean that people’s care, </w:t>
      </w:r>
      <w:proofErr w:type="gramStart"/>
      <w:r>
        <w:rPr>
          <w:rFonts w:ascii="Arial" w:hAnsi="Arial" w:cs="Arial"/>
          <w:i/>
          <w:iCs/>
          <w:sz w:val="22"/>
          <w:szCs w:val="22"/>
        </w:rPr>
        <w:t>treatment</w:t>
      </w:r>
      <w:proofErr w:type="gramEnd"/>
      <w:r>
        <w:rPr>
          <w:rFonts w:ascii="Arial" w:hAnsi="Arial" w:cs="Arial"/>
          <w:i/>
          <w:iCs/>
          <w:sz w:val="22"/>
          <w:szCs w:val="22"/>
        </w:rPr>
        <w:t xml:space="preserve"> and support achieve good outcomes, promote a good quality of life and are based on the best available evidence.</w:t>
      </w:r>
    </w:p>
    <w:p w14:paraId="4056916D" w14:textId="77777777" w:rsidR="00AA6B2F" w:rsidRDefault="00AA6B2F" w:rsidP="00AA6B2F">
      <w:pPr>
        <w:rPr>
          <w:rFonts w:ascii="Arial" w:hAnsi="Arial" w:cs="Arial"/>
          <w:i/>
          <w:iCs/>
          <w:color w:val="FF0000"/>
          <w:sz w:val="22"/>
          <w:szCs w:val="22"/>
        </w:rPr>
      </w:pPr>
    </w:p>
    <w:tbl>
      <w:tblPr>
        <w:tblStyle w:val="TableGrid"/>
        <w:tblW w:w="0" w:type="auto"/>
        <w:tblInd w:w="108" w:type="dxa"/>
        <w:tblLook w:val="04A0" w:firstRow="1" w:lastRow="0" w:firstColumn="1" w:lastColumn="0" w:noHBand="0" w:noVBand="1"/>
      </w:tblPr>
      <w:tblGrid>
        <w:gridCol w:w="2439"/>
        <w:gridCol w:w="5743"/>
      </w:tblGrid>
      <w:tr w:rsidR="00AA6B2F" w14:paraId="32331DA0" w14:textId="77777777" w:rsidTr="00AA6B2F">
        <w:tc>
          <w:tcPr>
            <w:tcW w:w="243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415D924" w14:textId="77777777" w:rsidR="00AA6B2F" w:rsidRDefault="00AA6B2F">
            <w:pPr>
              <w:spacing w:before="80" w:after="80"/>
              <w:rPr>
                <w:rFonts w:ascii="Arial" w:eastAsia="Times New Roman" w:hAnsi="Arial" w:cs="Arial"/>
                <w:b/>
                <w:bCs/>
                <w:color w:val="FFFFFF" w:themeColor="background1"/>
                <w:sz w:val="22"/>
                <w:szCs w:val="22"/>
              </w:rPr>
            </w:pPr>
            <w:bookmarkStart w:id="5" w:name="_Hlk54960668"/>
            <w:r>
              <w:rPr>
                <w:rFonts w:ascii="Arial" w:eastAsia="Times New Roman" w:hAnsi="Arial" w:cs="Arial"/>
                <w:b/>
                <w:bCs/>
                <w:color w:val="FFFFFF" w:themeColor="background1"/>
                <w:sz w:val="22"/>
                <w:szCs w:val="22"/>
              </w:rPr>
              <w:t>CQC KLOE E1</w:t>
            </w:r>
          </w:p>
        </w:tc>
        <w:tc>
          <w:tcPr>
            <w:tcW w:w="5743" w:type="dxa"/>
            <w:tcBorders>
              <w:top w:val="single" w:sz="4" w:space="0" w:color="auto"/>
              <w:left w:val="single" w:sz="4" w:space="0" w:color="auto"/>
              <w:bottom w:val="single" w:sz="4" w:space="0" w:color="auto"/>
              <w:right w:val="single" w:sz="4" w:space="0" w:color="auto"/>
            </w:tcBorders>
            <w:hideMark/>
          </w:tcPr>
          <w:p w14:paraId="65380C0C" w14:textId="77777777" w:rsidR="00AA6B2F" w:rsidRDefault="00AA6B2F">
            <w:pPr>
              <w:spacing w:before="80" w:after="80"/>
              <w:rPr>
                <w:rFonts w:ascii="Arial" w:hAnsi="Arial" w:cs="Arial"/>
                <w:sz w:val="22"/>
                <w:szCs w:val="22"/>
              </w:rPr>
            </w:pPr>
            <w:r>
              <w:rPr>
                <w:rFonts w:ascii="Arial" w:hAnsi="Arial" w:cs="Arial"/>
                <w:sz w:val="22"/>
                <w:szCs w:val="22"/>
              </w:rPr>
              <w:t xml:space="preserve">Are people’s needs assessed and care and treatment delivered in line with current legislation, </w:t>
            </w:r>
            <w:proofErr w:type="gramStart"/>
            <w:r>
              <w:rPr>
                <w:rFonts w:ascii="Arial" w:hAnsi="Arial" w:cs="Arial"/>
                <w:sz w:val="22"/>
                <w:szCs w:val="22"/>
              </w:rPr>
              <w:t>standards</w:t>
            </w:r>
            <w:proofErr w:type="gramEnd"/>
            <w:r>
              <w:rPr>
                <w:rFonts w:ascii="Arial" w:hAnsi="Arial" w:cs="Arial"/>
                <w:sz w:val="22"/>
                <w:szCs w:val="22"/>
              </w:rPr>
              <w:t xml:space="preserve"> and evidence-based guidance to achieve effective outcomes?</w:t>
            </w:r>
          </w:p>
        </w:tc>
        <w:bookmarkEnd w:id="5"/>
      </w:tr>
      <w:tr w:rsidR="00AA6B2F" w14:paraId="1607C8E3" w14:textId="77777777" w:rsidTr="00AA6B2F">
        <w:tc>
          <w:tcPr>
            <w:tcW w:w="243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E0440DD" w14:textId="77777777" w:rsidR="00AA6B2F" w:rsidRDefault="00AA6B2F">
            <w:pPr>
              <w:spacing w:before="80" w:after="80"/>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t>CQC KLOE E6</w:t>
            </w:r>
          </w:p>
        </w:tc>
        <w:tc>
          <w:tcPr>
            <w:tcW w:w="5743" w:type="dxa"/>
            <w:tcBorders>
              <w:top w:val="single" w:sz="4" w:space="0" w:color="auto"/>
              <w:left w:val="single" w:sz="4" w:space="0" w:color="auto"/>
              <w:bottom w:val="single" w:sz="4" w:space="0" w:color="auto"/>
              <w:right w:val="single" w:sz="4" w:space="0" w:color="auto"/>
            </w:tcBorders>
            <w:hideMark/>
          </w:tcPr>
          <w:p w14:paraId="343951E7" w14:textId="77777777" w:rsidR="00AA6B2F" w:rsidRDefault="00AA6B2F">
            <w:pPr>
              <w:spacing w:before="80" w:after="80"/>
              <w:rPr>
                <w:rFonts w:ascii="Arial" w:hAnsi="Arial" w:cs="Arial"/>
                <w:sz w:val="22"/>
                <w:szCs w:val="22"/>
              </w:rPr>
            </w:pPr>
            <w:r>
              <w:rPr>
                <w:rFonts w:ascii="Arial" w:hAnsi="Arial" w:cs="Arial"/>
                <w:sz w:val="22"/>
                <w:szCs w:val="22"/>
              </w:rPr>
              <w:t xml:space="preserve">Is </w:t>
            </w:r>
            <w:proofErr w:type="gramStart"/>
            <w:r>
              <w:rPr>
                <w:rFonts w:ascii="Arial" w:hAnsi="Arial" w:cs="Arial"/>
                <w:sz w:val="22"/>
                <w:szCs w:val="22"/>
              </w:rPr>
              <w:t>consent</w:t>
            </w:r>
            <w:proofErr w:type="gramEnd"/>
            <w:r>
              <w:rPr>
                <w:rFonts w:ascii="Arial" w:hAnsi="Arial" w:cs="Arial"/>
                <w:sz w:val="22"/>
                <w:szCs w:val="22"/>
              </w:rPr>
              <w:t xml:space="preserve"> to care and treatment always sought in line with legislation and guidance?</w:t>
            </w:r>
          </w:p>
        </w:tc>
      </w:tr>
    </w:tbl>
    <w:p w14:paraId="43B26842" w14:textId="77777777" w:rsidR="00AA6B2F" w:rsidRDefault="00AA6B2F" w:rsidP="00AA6B2F">
      <w:pPr>
        <w:rPr>
          <w:color w:val="FF0000"/>
          <w:lang w:val="en-US"/>
        </w:rPr>
      </w:pPr>
      <w:bookmarkStart w:id="6" w:name="_Toc54953501"/>
      <w:bookmarkStart w:id="7" w:name="_Toc54954993"/>
      <w:bookmarkStart w:id="8" w:name="_Toc54959595"/>
      <w:bookmarkEnd w:id="6"/>
      <w:bookmarkEnd w:id="7"/>
      <w:bookmarkEnd w:id="8"/>
    </w:p>
    <w:p w14:paraId="2E5683DE" w14:textId="77777777" w:rsidR="00AA6B2F" w:rsidRDefault="00AA6B2F" w:rsidP="00AA6B2F">
      <w:pPr>
        <w:rPr>
          <w:rFonts w:ascii="Arial" w:hAnsi="Arial" w:cs="Arial"/>
          <w:sz w:val="22"/>
          <w:szCs w:val="22"/>
        </w:rPr>
      </w:pPr>
      <w:r>
        <w:rPr>
          <w:rFonts w:ascii="Arial" w:hAnsi="Arial" w:cs="Arial"/>
          <w:sz w:val="22"/>
          <w:szCs w:val="22"/>
        </w:rPr>
        <w:t>The following is the CQC definition of Caring:</w:t>
      </w:r>
    </w:p>
    <w:p w14:paraId="480DB7F6" w14:textId="77777777" w:rsidR="00AA6B2F" w:rsidRDefault="00AA6B2F" w:rsidP="00AA6B2F">
      <w:pPr>
        <w:rPr>
          <w:rFonts w:ascii="Arial" w:hAnsi="Arial" w:cs="Arial"/>
          <w:i/>
          <w:iCs/>
          <w:sz w:val="20"/>
          <w:szCs w:val="20"/>
        </w:rPr>
      </w:pPr>
    </w:p>
    <w:p w14:paraId="515729D0" w14:textId="77777777" w:rsidR="00AA6B2F" w:rsidRDefault="00AA6B2F" w:rsidP="00AA6B2F">
      <w:pPr>
        <w:rPr>
          <w:rFonts w:ascii="Arial" w:hAnsi="Arial" w:cs="Arial"/>
          <w:i/>
          <w:iCs/>
          <w:sz w:val="22"/>
          <w:szCs w:val="22"/>
          <w:lang w:val="en-US"/>
        </w:rPr>
      </w:pPr>
      <w:r>
        <w:rPr>
          <w:rFonts w:ascii="Arial" w:hAnsi="Arial" w:cs="Arial"/>
          <w:i/>
          <w:iCs/>
          <w:sz w:val="22"/>
          <w:szCs w:val="22"/>
          <w:lang w:val="en-US"/>
        </w:rPr>
        <w:t xml:space="preserve">By caring, we mean that the service involves and treats people with compassion, kindness, </w:t>
      </w:r>
      <w:proofErr w:type="gramStart"/>
      <w:r>
        <w:rPr>
          <w:rFonts w:ascii="Arial" w:hAnsi="Arial" w:cs="Arial"/>
          <w:i/>
          <w:iCs/>
          <w:sz w:val="22"/>
          <w:szCs w:val="22"/>
          <w:lang w:val="en-US"/>
        </w:rPr>
        <w:t>dignity</w:t>
      </w:r>
      <w:proofErr w:type="gramEnd"/>
      <w:r>
        <w:rPr>
          <w:rFonts w:ascii="Arial" w:hAnsi="Arial" w:cs="Arial"/>
          <w:i/>
          <w:iCs/>
          <w:sz w:val="22"/>
          <w:szCs w:val="22"/>
          <w:lang w:val="en-US"/>
        </w:rPr>
        <w:t xml:space="preserve"> and respect.</w:t>
      </w:r>
    </w:p>
    <w:p w14:paraId="17EBFB6A" w14:textId="77777777" w:rsidR="00AA6B2F" w:rsidRDefault="00AA6B2F" w:rsidP="00AA6B2F">
      <w:pPr>
        <w:rPr>
          <w:rFonts w:ascii="Arial" w:hAnsi="Arial" w:cs="Arial"/>
          <w:i/>
          <w:iCs/>
          <w:sz w:val="22"/>
          <w:szCs w:val="22"/>
          <w:lang w:val="en-US"/>
        </w:rPr>
      </w:pPr>
    </w:p>
    <w:tbl>
      <w:tblPr>
        <w:tblStyle w:val="TableGrid"/>
        <w:tblW w:w="0" w:type="auto"/>
        <w:tblInd w:w="108" w:type="dxa"/>
        <w:tblLook w:val="04A0" w:firstRow="1" w:lastRow="0" w:firstColumn="1" w:lastColumn="0" w:noHBand="0" w:noVBand="1"/>
      </w:tblPr>
      <w:tblGrid>
        <w:gridCol w:w="2439"/>
        <w:gridCol w:w="5743"/>
      </w:tblGrid>
      <w:tr w:rsidR="00AA6B2F" w14:paraId="107965A5" w14:textId="77777777" w:rsidTr="00AA6B2F">
        <w:tc>
          <w:tcPr>
            <w:tcW w:w="243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318C5BB" w14:textId="77777777" w:rsidR="00AA6B2F" w:rsidRDefault="00AA6B2F">
            <w:pPr>
              <w:spacing w:before="80" w:after="80"/>
              <w:rPr>
                <w:rFonts w:ascii="Arial" w:eastAsia="Times New Roman" w:hAnsi="Arial" w:cs="Arial"/>
                <w:b/>
                <w:bCs/>
                <w:color w:val="FFFFFF" w:themeColor="background1"/>
                <w:sz w:val="22"/>
                <w:szCs w:val="22"/>
              </w:rPr>
            </w:pPr>
            <w:bookmarkStart w:id="9" w:name="_Hlk54960887"/>
            <w:r>
              <w:rPr>
                <w:rFonts w:ascii="Arial" w:eastAsia="Times New Roman" w:hAnsi="Arial" w:cs="Arial"/>
                <w:b/>
                <w:bCs/>
                <w:color w:val="FFFFFF" w:themeColor="background1"/>
                <w:sz w:val="22"/>
                <w:szCs w:val="22"/>
              </w:rPr>
              <w:t>CQC KLOE C3</w:t>
            </w:r>
          </w:p>
        </w:tc>
        <w:tc>
          <w:tcPr>
            <w:tcW w:w="5743" w:type="dxa"/>
            <w:tcBorders>
              <w:top w:val="single" w:sz="4" w:space="0" w:color="auto"/>
              <w:left w:val="single" w:sz="4" w:space="0" w:color="auto"/>
              <w:bottom w:val="single" w:sz="4" w:space="0" w:color="auto"/>
              <w:right w:val="single" w:sz="4" w:space="0" w:color="auto"/>
            </w:tcBorders>
            <w:hideMark/>
          </w:tcPr>
          <w:p w14:paraId="786687EC" w14:textId="77777777" w:rsidR="00AA6B2F" w:rsidRDefault="00AA6B2F">
            <w:pPr>
              <w:spacing w:before="80" w:after="80"/>
              <w:rPr>
                <w:rFonts w:ascii="Arial" w:hAnsi="Arial" w:cs="Arial"/>
                <w:sz w:val="22"/>
                <w:szCs w:val="22"/>
              </w:rPr>
            </w:pPr>
            <w:r>
              <w:rPr>
                <w:rFonts w:ascii="Arial" w:hAnsi="Arial" w:cs="Arial"/>
                <w:sz w:val="22"/>
                <w:szCs w:val="22"/>
              </w:rPr>
              <w:t>How are people's privacy and dignity respected and promoted?</w:t>
            </w:r>
          </w:p>
        </w:tc>
      </w:tr>
    </w:tbl>
    <w:p w14:paraId="1C3D16A1" w14:textId="77777777" w:rsidR="00AA6B2F" w:rsidRDefault="00AA6B2F" w:rsidP="00AA6B2F">
      <w:pPr>
        <w:pStyle w:val="Heading2"/>
        <w:spacing w:line="256" w:lineRule="auto"/>
        <w:rPr>
          <w:rFonts w:ascii="Arial" w:hAnsi="Arial" w:cs="Arial"/>
          <w:sz w:val="24"/>
          <w:szCs w:val="24"/>
          <w:lang w:val="en-GB"/>
        </w:rPr>
      </w:pPr>
      <w:bookmarkStart w:id="10" w:name="_Toc55992397"/>
      <w:bookmarkStart w:id="11" w:name="_Toc55996804"/>
      <w:bookmarkStart w:id="12" w:name="_Toc55997017"/>
      <w:bookmarkStart w:id="13" w:name="_Toc43391044"/>
      <w:bookmarkStart w:id="14" w:name="_Toc43391298"/>
      <w:bookmarkStart w:id="15" w:name="_Toc43391045"/>
      <w:bookmarkStart w:id="16" w:name="_Toc43391299"/>
      <w:bookmarkStart w:id="17" w:name="_Toc43391046"/>
      <w:bookmarkStart w:id="18" w:name="_Toc43391300"/>
      <w:bookmarkStart w:id="19" w:name="_Toc43391047"/>
      <w:bookmarkStart w:id="20" w:name="_Toc43391301"/>
      <w:bookmarkStart w:id="21" w:name="_Toc91750332"/>
      <w:bookmarkEnd w:id="9"/>
      <w:bookmarkEnd w:id="10"/>
      <w:bookmarkEnd w:id="11"/>
      <w:bookmarkEnd w:id="12"/>
      <w:bookmarkEnd w:id="13"/>
      <w:bookmarkEnd w:id="14"/>
      <w:bookmarkEnd w:id="15"/>
      <w:bookmarkEnd w:id="16"/>
      <w:bookmarkEnd w:id="17"/>
      <w:bookmarkEnd w:id="18"/>
      <w:bookmarkEnd w:id="19"/>
      <w:bookmarkEnd w:id="20"/>
      <w:r>
        <w:rPr>
          <w:rFonts w:ascii="Arial" w:hAnsi="Arial" w:cs="Arial"/>
          <w:sz w:val="24"/>
          <w:szCs w:val="24"/>
          <w:lang w:val="en-GB"/>
        </w:rPr>
        <w:t>Training and support</w:t>
      </w:r>
      <w:bookmarkEnd w:id="21"/>
    </w:p>
    <w:p w14:paraId="6E99CDFE" w14:textId="77777777" w:rsidR="00AA6B2F" w:rsidRDefault="00AA6B2F" w:rsidP="00AA6B2F"/>
    <w:p w14:paraId="1D806942" w14:textId="77777777" w:rsidR="00AA6B2F" w:rsidRDefault="00AA6B2F" w:rsidP="00AA6B2F">
      <w:pPr>
        <w:rPr>
          <w:rFonts w:ascii="Arial" w:hAnsi="Arial" w:cs="Arial"/>
          <w:sz w:val="22"/>
          <w:szCs w:val="22"/>
        </w:rPr>
      </w:pPr>
      <w:r>
        <w:rPr>
          <w:rFonts w:ascii="Arial" w:hAnsi="Arial" w:cs="Arial"/>
          <w:sz w:val="22"/>
          <w:szCs w:val="22"/>
        </w:rPr>
        <w:t>The organisation will provide guidance and support to help those to whom it applies to understand their rights and responsibilities under this policy. Additional support will be provided to managers and supervisors to enable them to deal more effectively with matters arising from this policy.</w:t>
      </w:r>
    </w:p>
    <w:p w14:paraId="6252D6AD" w14:textId="6ACA799E" w:rsidR="00AA6B2F" w:rsidRDefault="00AA6B2F" w:rsidP="00AA6B2F">
      <w:pPr>
        <w:rPr>
          <w:rFonts w:ascii="Arial" w:hAnsi="Arial" w:cs="Arial"/>
          <w:sz w:val="22"/>
          <w:szCs w:val="22"/>
        </w:rPr>
      </w:pPr>
      <w:r>
        <w:rPr>
          <w:noProof/>
        </w:rPr>
        <w:drawing>
          <wp:anchor distT="0" distB="0" distL="114300" distR="114300" simplePos="0" relativeHeight="251658240" behindDoc="0" locked="0" layoutInCell="1" allowOverlap="1" wp14:anchorId="1FEE9A1B" wp14:editId="2040A36E">
            <wp:simplePos x="0" y="0"/>
            <wp:positionH relativeFrom="column">
              <wp:posOffset>0</wp:posOffset>
            </wp:positionH>
            <wp:positionV relativeFrom="paragraph">
              <wp:posOffset>152400</wp:posOffset>
            </wp:positionV>
            <wp:extent cx="457200" cy="457200"/>
            <wp:effectExtent l="0" t="0" r="0" b="0"/>
            <wp:wrapSquare wrapText="bothSides"/>
            <wp:docPr id="1" name="Picture 1"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ctice Index HUB"/>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p w14:paraId="1F02928D" w14:textId="77777777" w:rsidR="00AA6B2F" w:rsidRDefault="00AA6B2F" w:rsidP="00AA6B2F">
      <w:pPr>
        <w:rPr>
          <w:rFonts w:ascii="Arial" w:hAnsi="Arial" w:cs="Arial"/>
          <w:sz w:val="22"/>
          <w:szCs w:val="22"/>
        </w:rPr>
      </w:pPr>
    </w:p>
    <w:p w14:paraId="40BCEDAF" w14:textId="77777777" w:rsidR="00AA6B2F" w:rsidRDefault="00AA6B2F" w:rsidP="00AA6B2F">
      <w:pPr>
        <w:rPr>
          <w:rFonts w:ascii="Arial" w:hAnsi="Arial" w:cs="Arial"/>
          <w:sz w:val="22"/>
          <w:szCs w:val="22"/>
        </w:rPr>
      </w:pPr>
      <w:r>
        <w:rPr>
          <w:rFonts w:ascii="Arial" w:hAnsi="Arial" w:cs="Arial"/>
          <w:sz w:val="22"/>
          <w:szCs w:val="22"/>
        </w:rPr>
        <w:t xml:space="preserve">Consent training is available on the </w:t>
      </w:r>
      <w:hyperlink r:id="rId47" w:history="1">
        <w:r>
          <w:rPr>
            <w:rStyle w:val="Hyperlink"/>
            <w:rFonts w:ascii="Arial" w:hAnsi="Arial" w:cs="Arial"/>
          </w:rPr>
          <w:t>HUB</w:t>
        </w:r>
      </w:hyperlink>
      <w:r>
        <w:rPr>
          <w:rFonts w:ascii="Arial" w:hAnsi="Arial" w:cs="Arial"/>
          <w:sz w:val="22"/>
          <w:szCs w:val="22"/>
        </w:rPr>
        <w:t>.</w:t>
      </w:r>
    </w:p>
    <w:p w14:paraId="0A58C7FA" w14:textId="77777777" w:rsidR="00AA6B2F" w:rsidRDefault="00AA6B2F" w:rsidP="00CD211E">
      <w:pPr>
        <w:rPr>
          <w:lang w:val="en-US"/>
        </w:rPr>
      </w:pPr>
    </w:p>
    <w:p w14:paraId="13E75816" w14:textId="77777777"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22" w:name="_Toc494997213"/>
      <w:r>
        <w:rPr>
          <w:sz w:val="28"/>
          <w:szCs w:val="28"/>
        </w:rPr>
        <w:t>Scope</w:t>
      </w:r>
      <w:bookmarkEnd w:id="22"/>
    </w:p>
    <w:p w14:paraId="719CBE13" w14:textId="7F698BF7" w:rsidR="00AA6B2F" w:rsidRPr="00AA6B2F" w:rsidRDefault="00D42138" w:rsidP="00AA6B2F">
      <w:pPr>
        <w:pStyle w:val="Heading2"/>
        <w:rPr>
          <w:rFonts w:ascii="Arial" w:hAnsi="Arial" w:cs="Arial"/>
          <w:smallCaps w:val="0"/>
          <w:sz w:val="24"/>
          <w:szCs w:val="24"/>
        </w:rPr>
      </w:pPr>
      <w:bookmarkStart w:id="23" w:name="_Toc494997214"/>
      <w:r w:rsidRPr="002D19E7">
        <w:rPr>
          <w:rFonts w:ascii="Arial" w:hAnsi="Arial" w:cs="Arial"/>
          <w:smallCaps w:val="0"/>
          <w:sz w:val="24"/>
          <w:szCs w:val="24"/>
        </w:rPr>
        <w:t>W</w:t>
      </w:r>
      <w:r w:rsidR="00CD211E" w:rsidRPr="002D19E7">
        <w:rPr>
          <w:rFonts w:ascii="Arial" w:hAnsi="Arial" w:cs="Arial"/>
          <w:smallCaps w:val="0"/>
          <w:sz w:val="24"/>
          <w:szCs w:val="24"/>
        </w:rPr>
        <w:t xml:space="preserve">ho </w:t>
      </w:r>
      <w:r w:rsidR="002D19E7">
        <w:rPr>
          <w:rFonts w:ascii="Arial" w:hAnsi="Arial" w:cs="Arial"/>
          <w:smallCaps w:val="0"/>
          <w:sz w:val="24"/>
          <w:szCs w:val="24"/>
        </w:rPr>
        <w:t>i</w:t>
      </w:r>
      <w:r w:rsidR="00CD211E" w:rsidRPr="002D19E7">
        <w:rPr>
          <w:rFonts w:ascii="Arial" w:hAnsi="Arial" w:cs="Arial"/>
          <w:smallCaps w:val="0"/>
          <w:sz w:val="24"/>
          <w:szCs w:val="24"/>
        </w:rPr>
        <w:t xml:space="preserve">t </w:t>
      </w:r>
      <w:r w:rsidR="002D19E7">
        <w:rPr>
          <w:rFonts w:ascii="Arial" w:hAnsi="Arial" w:cs="Arial"/>
          <w:smallCaps w:val="0"/>
          <w:sz w:val="24"/>
          <w:szCs w:val="24"/>
        </w:rPr>
        <w:t>a</w:t>
      </w:r>
      <w:r w:rsidR="00CD211E" w:rsidRPr="002D19E7">
        <w:rPr>
          <w:rFonts w:ascii="Arial" w:hAnsi="Arial" w:cs="Arial"/>
          <w:smallCaps w:val="0"/>
          <w:sz w:val="24"/>
          <w:szCs w:val="24"/>
        </w:rPr>
        <w:t xml:space="preserve">pplies </w:t>
      </w:r>
      <w:proofErr w:type="gramStart"/>
      <w:r w:rsidR="002D19E7">
        <w:rPr>
          <w:rFonts w:ascii="Arial" w:hAnsi="Arial" w:cs="Arial"/>
          <w:smallCaps w:val="0"/>
          <w:sz w:val="24"/>
          <w:szCs w:val="24"/>
        </w:rPr>
        <w:t>t</w:t>
      </w:r>
      <w:r w:rsidR="00CD211E" w:rsidRPr="002D19E7">
        <w:rPr>
          <w:rFonts w:ascii="Arial" w:hAnsi="Arial" w:cs="Arial"/>
          <w:smallCaps w:val="0"/>
          <w:sz w:val="24"/>
          <w:szCs w:val="24"/>
        </w:rPr>
        <w:t>o</w:t>
      </w:r>
      <w:bookmarkEnd w:id="23"/>
      <w:proofErr w:type="gramEnd"/>
    </w:p>
    <w:p w14:paraId="77B4C249" w14:textId="77777777" w:rsidR="00AA6B2F" w:rsidRDefault="00AA6B2F" w:rsidP="00AA6B2F"/>
    <w:p w14:paraId="6C8E65D9" w14:textId="77777777" w:rsidR="00AA6B2F" w:rsidRDefault="00AA6B2F" w:rsidP="00AA6B2F">
      <w:pPr>
        <w:rPr>
          <w:rFonts w:ascii="Arial" w:hAnsi="Arial" w:cs="Arial"/>
          <w:sz w:val="22"/>
          <w:szCs w:val="22"/>
        </w:rPr>
      </w:pPr>
      <w:r>
        <w:rPr>
          <w:rFonts w:ascii="Arial" w:hAnsi="Arial" w:cs="Arial"/>
          <w:sz w:val="22"/>
          <w:szCs w:val="22"/>
        </w:rPr>
        <w:t xml:space="preserve">This document applies to all employees of the organisation and other individuals performing functions in relation to the organisation such as agency workers, </w:t>
      </w:r>
      <w:proofErr w:type="gramStart"/>
      <w:r>
        <w:rPr>
          <w:rFonts w:ascii="Arial" w:hAnsi="Arial" w:cs="Arial"/>
          <w:sz w:val="22"/>
          <w:szCs w:val="22"/>
        </w:rPr>
        <w:t>locums</w:t>
      </w:r>
      <w:proofErr w:type="gramEnd"/>
      <w:r>
        <w:rPr>
          <w:rFonts w:ascii="Arial" w:hAnsi="Arial" w:cs="Arial"/>
          <w:sz w:val="22"/>
          <w:szCs w:val="22"/>
        </w:rPr>
        <w:t xml:space="preserve"> and contractors. </w:t>
      </w:r>
    </w:p>
    <w:p w14:paraId="2DE63570" w14:textId="77777777" w:rsidR="00AA6B2F" w:rsidRDefault="00AA6B2F" w:rsidP="00AA6B2F">
      <w:pPr>
        <w:rPr>
          <w:rFonts w:ascii="Arial" w:hAnsi="Arial" w:cs="Arial"/>
          <w:sz w:val="22"/>
          <w:szCs w:val="22"/>
        </w:rPr>
      </w:pPr>
    </w:p>
    <w:p w14:paraId="739CCA0C" w14:textId="77777777" w:rsidR="00AA6B2F" w:rsidRDefault="00AA6B2F" w:rsidP="00AA6B2F">
      <w:r>
        <w:rPr>
          <w:rFonts w:ascii="Arial" w:hAnsi="Arial" w:cs="Arial"/>
          <w:sz w:val="22"/>
          <w:szCs w:val="22"/>
        </w:rPr>
        <w:t>Furthermore, it applies to clinicians who may or may not be employed by the organisation but who are working under the Additional Roles Reimbursement Scheme (ARRS).</w:t>
      </w:r>
      <w:r>
        <w:rPr>
          <w:rStyle w:val="FootnoteReference"/>
          <w:rFonts w:ascii="Arial" w:hAnsi="Arial" w:cs="Arial"/>
        </w:rPr>
        <w:footnoteReference w:id="3"/>
      </w:r>
    </w:p>
    <w:p w14:paraId="61002FAF" w14:textId="77777777" w:rsidR="00AA6B2F" w:rsidRDefault="00AA6B2F" w:rsidP="00AA6B2F">
      <w:pPr>
        <w:pStyle w:val="Heading2"/>
        <w:rPr>
          <w:rFonts w:ascii="Arial" w:hAnsi="Arial" w:cs="Arial"/>
          <w:sz w:val="24"/>
          <w:szCs w:val="24"/>
          <w:lang w:val="en-GB"/>
        </w:rPr>
      </w:pPr>
      <w:bookmarkStart w:id="24" w:name="_Toc91750336"/>
      <w:r>
        <w:rPr>
          <w:rFonts w:ascii="Arial" w:hAnsi="Arial" w:cs="Arial"/>
          <w:sz w:val="24"/>
          <w:szCs w:val="24"/>
          <w:lang w:val="en-GB"/>
        </w:rPr>
        <w:t>Why and how it applies to them</w:t>
      </w:r>
      <w:bookmarkEnd w:id="24"/>
    </w:p>
    <w:p w14:paraId="5F323A31" w14:textId="77777777" w:rsidR="00AA6B2F" w:rsidRDefault="00AA6B2F" w:rsidP="00AA6B2F">
      <w:pPr>
        <w:rPr>
          <w:rFonts w:cstheme="minorHAnsi"/>
        </w:rPr>
      </w:pPr>
    </w:p>
    <w:p w14:paraId="24EF600A" w14:textId="77777777" w:rsidR="00AA6B2F" w:rsidRDefault="00AA6B2F" w:rsidP="00AA6B2F">
      <w:pPr>
        <w:rPr>
          <w:rFonts w:ascii="Arial" w:hAnsi="Arial" w:cs="Arial"/>
          <w:sz w:val="22"/>
          <w:szCs w:val="22"/>
        </w:rPr>
      </w:pPr>
      <w:r>
        <w:rPr>
          <w:rFonts w:ascii="Arial" w:hAnsi="Arial" w:cs="Arial"/>
          <w:sz w:val="22"/>
          <w:szCs w:val="22"/>
        </w:rPr>
        <w:t xml:space="preserve">This document defines the phraseology associated with consent and provides detailed information for all clinical staff, ensuring they fully understand the need to obtain consent. It </w:t>
      </w:r>
      <w:r>
        <w:rPr>
          <w:rFonts w:ascii="Arial" w:hAnsi="Arial" w:cs="Arial"/>
          <w:sz w:val="22"/>
          <w:szCs w:val="22"/>
        </w:rPr>
        <w:lastRenderedPageBreak/>
        <w:t>is to be read in conjunction with the referenced publications and staff are to adhere to the direction given within this policy.</w:t>
      </w:r>
    </w:p>
    <w:p w14:paraId="0E442B3D" w14:textId="77777777" w:rsidR="00AA6B2F" w:rsidRDefault="00AA6B2F" w:rsidP="00AA6B2F">
      <w:pPr>
        <w:rPr>
          <w:rFonts w:ascii="Arial" w:hAnsi="Arial" w:cs="Arial"/>
          <w:sz w:val="22"/>
          <w:szCs w:val="22"/>
        </w:rPr>
      </w:pPr>
    </w:p>
    <w:p w14:paraId="683B8133" w14:textId="77777777" w:rsidR="00AA6B2F" w:rsidRDefault="00AA6B2F" w:rsidP="00AA6B2F">
      <w:pPr>
        <w:rPr>
          <w:rFonts w:ascii="Arial" w:hAnsi="Arial" w:cs="Arial"/>
          <w:sz w:val="22"/>
          <w:szCs w:val="22"/>
        </w:rPr>
      </w:pPr>
      <w:r>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48" w:history="1">
        <w:r>
          <w:rPr>
            <w:rStyle w:val="Hyperlink"/>
            <w:rFonts w:ascii="Arial" w:hAnsi="Arial" w:cs="Arial"/>
          </w:rPr>
          <w:t>Equality Act 2010</w:t>
        </w:r>
      </w:hyperlink>
      <w:r>
        <w:rPr>
          <w:rFonts w:ascii="Arial" w:hAnsi="Arial" w:cs="Arial"/>
          <w:sz w:val="22"/>
          <w:szCs w:val="22"/>
        </w:rPr>
        <w:t xml:space="preserve">. Consideration has been given to the impact this policy might have </w:t>
      </w:r>
      <w:proofErr w:type="gramStart"/>
      <w:r>
        <w:rPr>
          <w:rFonts w:ascii="Arial" w:hAnsi="Arial" w:cs="Arial"/>
          <w:sz w:val="22"/>
          <w:szCs w:val="22"/>
        </w:rPr>
        <w:t>with regard to</w:t>
      </w:r>
      <w:proofErr w:type="gramEnd"/>
      <w:r>
        <w:rPr>
          <w:rFonts w:ascii="Arial" w:hAnsi="Arial" w:cs="Arial"/>
          <w:sz w:val="22"/>
          <w:szCs w:val="22"/>
        </w:rPr>
        <w:t xml:space="preserve"> the individual protected characteristics of those to whom it applies.</w:t>
      </w:r>
    </w:p>
    <w:p w14:paraId="75D9291D" w14:textId="77777777" w:rsidR="00AA6B2F" w:rsidRPr="00AA6B2F" w:rsidRDefault="00AA6B2F" w:rsidP="00AA6B2F">
      <w:pPr>
        <w:rPr>
          <w:lang w:val="en-US"/>
        </w:rPr>
      </w:pPr>
    </w:p>
    <w:p w14:paraId="42B88475" w14:textId="1D77CE1A"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25" w:name="_Toc494997216"/>
      <w:r>
        <w:rPr>
          <w:sz w:val="28"/>
          <w:szCs w:val="28"/>
        </w:rPr>
        <w:t>Definition of terms</w:t>
      </w:r>
      <w:bookmarkEnd w:id="25"/>
      <w:r>
        <w:rPr>
          <w:sz w:val="28"/>
          <w:szCs w:val="28"/>
        </w:rPr>
        <w:t xml:space="preserve"> </w:t>
      </w:r>
    </w:p>
    <w:p w14:paraId="48F4094D" w14:textId="77777777" w:rsidR="00AA6B2F" w:rsidRDefault="00AA6B2F" w:rsidP="00AA6B2F">
      <w:pPr>
        <w:pStyle w:val="Heading2"/>
        <w:rPr>
          <w:rFonts w:ascii="Arial" w:hAnsi="Arial" w:cs="Arial"/>
          <w:sz w:val="24"/>
          <w:szCs w:val="24"/>
          <w:lang w:val="en-GB"/>
        </w:rPr>
      </w:pPr>
      <w:bookmarkStart w:id="26" w:name="_Toc91750338"/>
      <w:r>
        <w:rPr>
          <w:rFonts w:ascii="Arial" w:hAnsi="Arial" w:cs="Arial"/>
          <w:sz w:val="24"/>
          <w:szCs w:val="24"/>
          <w:lang w:val="en-GB"/>
        </w:rPr>
        <w:t>Voluntary consent</w:t>
      </w:r>
      <w:bookmarkEnd w:id="26"/>
    </w:p>
    <w:p w14:paraId="5515BA28" w14:textId="77777777" w:rsidR="00AA6B2F" w:rsidRDefault="00AA6B2F" w:rsidP="00AA6B2F"/>
    <w:p w14:paraId="3D937755" w14:textId="77777777" w:rsidR="00AA6B2F" w:rsidRDefault="00AA6B2F" w:rsidP="00AA6B2F">
      <w:pPr>
        <w:rPr>
          <w:rFonts w:ascii="Arial" w:eastAsia="Times New Roman" w:hAnsi="Arial" w:cs="Arial"/>
          <w:sz w:val="22"/>
          <w:szCs w:val="22"/>
          <w:lang w:eastAsia="en-GB"/>
        </w:rPr>
      </w:pPr>
      <w:r>
        <w:rPr>
          <w:rFonts w:ascii="Arial" w:eastAsia="Times New Roman" w:hAnsi="Arial" w:cs="Arial"/>
          <w:sz w:val="22"/>
          <w:szCs w:val="22"/>
          <w:shd w:val="clear" w:color="auto" w:fill="FFFFFF"/>
          <w:lang w:eastAsia="en-GB"/>
        </w:rPr>
        <w:t xml:space="preserve">The decision regarding </w:t>
      </w:r>
      <w:proofErr w:type="gramStart"/>
      <w:r>
        <w:rPr>
          <w:rFonts w:ascii="Arial" w:eastAsia="Times New Roman" w:hAnsi="Arial" w:cs="Arial"/>
          <w:sz w:val="22"/>
          <w:szCs w:val="22"/>
          <w:shd w:val="clear" w:color="auto" w:fill="FFFFFF"/>
          <w:lang w:eastAsia="en-GB"/>
        </w:rPr>
        <w:t>whether or not</w:t>
      </w:r>
      <w:proofErr w:type="gramEnd"/>
      <w:r>
        <w:rPr>
          <w:rFonts w:ascii="Arial" w:eastAsia="Times New Roman" w:hAnsi="Arial" w:cs="Arial"/>
          <w:sz w:val="22"/>
          <w:szCs w:val="22"/>
          <w:shd w:val="clear" w:color="auto" w:fill="FFFFFF"/>
          <w:lang w:eastAsia="en-GB"/>
        </w:rPr>
        <w:t xml:space="preserve"> to consent must be made by the individual and must not be influenced by healthcare professionals, friends or family members.</w:t>
      </w:r>
    </w:p>
    <w:p w14:paraId="5D55D9CF" w14:textId="77777777" w:rsidR="00AA6B2F" w:rsidRDefault="00AA6B2F" w:rsidP="00AA6B2F">
      <w:pPr>
        <w:pStyle w:val="Heading2"/>
        <w:rPr>
          <w:rFonts w:ascii="Arial" w:hAnsi="Arial" w:cs="Arial"/>
          <w:color w:val="auto"/>
          <w:sz w:val="24"/>
          <w:szCs w:val="24"/>
          <w:lang w:val="en-GB"/>
        </w:rPr>
      </w:pPr>
      <w:bookmarkStart w:id="27" w:name="_Toc91750339"/>
      <w:r>
        <w:rPr>
          <w:rFonts w:ascii="Arial" w:hAnsi="Arial" w:cs="Arial"/>
          <w:color w:val="auto"/>
          <w:sz w:val="24"/>
          <w:szCs w:val="24"/>
          <w:lang w:val="en-GB"/>
        </w:rPr>
        <w:t>Informed consent</w:t>
      </w:r>
      <w:bookmarkEnd w:id="27"/>
    </w:p>
    <w:p w14:paraId="4191C38C" w14:textId="77777777" w:rsidR="00AA6B2F" w:rsidRDefault="00AA6B2F" w:rsidP="00AA6B2F">
      <w:pPr>
        <w:rPr>
          <w:rFonts w:cstheme="minorHAnsi"/>
        </w:rPr>
      </w:pPr>
    </w:p>
    <w:p w14:paraId="1007BA8A" w14:textId="77777777" w:rsidR="00AA6B2F" w:rsidRDefault="00AA6B2F" w:rsidP="00AA6B2F">
      <w:pPr>
        <w:rPr>
          <w:rFonts w:ascii="Arial" w:eastAsia="Times New Roman" w:hAnsi="Arial" w:cs="Arial"/>
          <w:sz w:val="22"/>
          <w:szCs w:val="22"/>
          <w:shd w:val="clear" w:color="auto" w:fill="FFFFFF"/>
          <w:lang w:eastAsia="en-GB"/>
        </w:rPr>
      </w:pPr>
      <w:r>
        <w:rPr>
          <w:rFonts w:ascii="Arial" w:eastAsia="Times New Roman" w:hAnsi="Arial" w:cs="Arial"/>
          <w:sz w:val="22"/>
          <w:szCs w:val="22"/>
          <w:shd w:val="clear" w:color="auto" w:fill="FFFFFF"/>
          <w:lang w:eastAsia="en-GB"/>
        </w:rPr>
        <w:t>The patient must be given all the information regarding what the procedure or treatment involves. This includes the associated benefits and risks, information about alternative treatments and the consequences if the procedure or treatment is declined.</w:t>
      </w:r>
    </w:p>
    <w:p w14:paraId="138BEA18" w14:textId="77777777" w:rsidR="00AA6B2F" w:rsidRDefault="00AA6B2F" w:rsidP="00AA6B2F">
      <w:pPr>
        <w:pStyle w:val="Heading2"/>
        <w:rPr>
          <w:rFonts w:ascii="Arial" w:hAnsi="Arial" w:cs="Arial"/>
          <w:color w:val="auto"/>
          <w:sz w:val="24"/>
          <w:szCs w:val="24"/>
          <w:lang w:val="en-GB"/>
        </w:rPr>
      </w:pPr>
      <w:bookmarkStart w:id="28" w:name="_Toc91750340"/>
      <w:r>
        <w:rPr>
          <w:rFonts w:ascii="Arial" w:hAnsi="Arial" w:cs="Arial"/>
          <w:color w:val="auto"/>
          <w:sz w:val="24"/>
          <w:szCs w:val="24"/>
          <w:lang w:val="en-GB"/>
        </w:rPr>
        <w:t>Capacity</w:t>
      </w:r>
      <w:bookmarkEnd w:id="28"/>
    </w:p>
    <w:p w14:paraId="79A069C4" w14:textId="77777777" w:rsidR="00AA6B2F" w:rsidRDefault="00AA6B2F" w:rsidP="00AA6B2F">
      <w:pPr>
        <w:rPr>
          <w:rFonts w:ascii="Arial" w:eastAsia="Times New Roman" w:hAnsi="Arial" w:cs="Arial"/>
          <w:lang w:eastAsia="en-GB"/>
        </w:rPr>
      </w:pPr>
    </w:p>
    <w:p w14:paraId="1A06763F" w14:textId="77777777" w:rsidR="00AA6B2F" w:rsidRDefault="00AA6B2F" w:rsidP="00AA6B2F">
      <w:pPr>
        <w:rPr>
          <w:rFonts w:ascii="Arial" w:eastAsia="Times New Roman" w:hAnsi="Arial" w:cs="Arial"/>
          <w:sz w:val="22"/>
          <w:szCs w:val="22"/>
          <w:shd w:val="clear" w:color="auto" w:fill="FFFFFF"/>
          <w:lang w:eastAsia="en-GB"/>
        </w:rPr>
      </w:pPr>
      <w:r>
        <w:rPr>
          <w:rFonts w:ascii="Arial" w:eastAsia="Times New Roman" w:hAnsi="Arial" w:cs="Arial"/>
          <w:sz w:val="22"/>
          <w:szCs w:val="22"/>
          <w:shd w:val="clear" w:color="auto" w:fill="FFFFFF"/>
          <w:lang w:eastAsia="en-GB"/>
        </w:rPr>
        <w:t>The person must be capable of giving consent which means they fully understand the information given to them and can use it to make an informed decision.</w:t>
      </w:r>
    </w:p>
    <w:p w14:paraId="04F3140D" w14:textId="77777777" w:rsidR="00AA6B2F" w:rsidRDefault="00AA6B2F" w:rsidP="00AA6B2F">
      <w:pPr>
        <w:pStyle w:val="Heading2"/>
        <w:rPr>
          <w:rFonts w:ascii="Arial" w:hAnsi="Arial" w:cs="Arial"/>
          <w:color w:val="auto"/>
          <w:sz w:val="24"/>
          <w:szCs w:val="24"/>
          <w:lang w:val="en-GB"/>
        </w:rPr>
      </w:pPr>
      <w:bookmarkStart w:id="29" w:name="_Toc91750341"/>
      <w:r>
        <w:rPr>
          <w:rFonts w:ascii="Arial" w:hAnsi="Arial" w:cs="Arial"/>
          <w:color w:val="auto"/>
          <w:sz w:val="24"/>
          <w:szCs w:val="24"/>
          <w:lang w:val="en-GB"/>
        </w:rPr>
        <w:t>Age of consent</w:t>
      </w:r>
      <w:bookmarkEnd w:id="29"/>
    </w:p>
    <w:p w14:paraId="7C54DCEF" w14:textId="77777777" w:rsidR="00AA6B2F" w:rsidRDefault="00AA6B2F" w:rsidP="00AA6B2F"/>
    <w:p w14:paraId="5EACAF17" w14:textId="77777777" w:rsidR="00AA6B2F" w:rsidRDefault="00AA6B2F" w:rsidP="00AA6B2F">
      <w:pPr>
        <w:rPr>
          <w:rFonts w:ascii="Arial" w:hAnsi="Arial" w:cs="Arial"/>
          <w:sz w:val="22"/>
          <w:szCs w:val="22"/>
        </w:rPr>
      </w:pPr>
      <w:r>
        <w:rPr>
          <w:rFonts w:ascii="Arial" w:hAnsi="Arial" w:cs="Arial"/>
          <w:sz w:val="22"/>
          <w:szCs w:val="22"/>
        </w:rPr>
        <w:t xml:space="preserve">In law, the </w:t>
      </w:r>
      <w:hyperlink r:id="rId49" w:history="1">
        <w:r>
          <w:rPr>
            <w:rStyle w:val="Hyperlink"/>
            <w:rFonts w:ascii="Arial" w:hAnsi="Arial" w:cs="Arial"/>
          </w:rPr>
          <w:t>Children Act 1989</w:t>
        </w:r>
      </w:hyperlink>
      <w:r>
        <w:rPr>
          <w:rFonts w:ascii="Arial" w:hAnsi="Arial" w:cs="Arial"/>
          <w:sz w:val="22"/>
          <w:szCs w:val="22"/>
        </w:rPr>
        <w:t xml:space="preserve"> defines that it is a person's 18th birthday that draws the line between childhood and adulthood. </w:t>
      </w:r>
    </w:p>
    <w:p w14:paraId="21C5DF59" w14:textId="77777777" w:rsidR="00AA6B2F" w:rsidRDefault="00AA6B2F" w:rsidP="00AA6B2F">
      <w:pPr>
        <w:rPr>
          <w:rFonts w:ascii="Arial" w:hAnsi="Arial" w:cs="Arial"/>
          <w:sz w:val="22"/>
          <w:szCs w:val="22"/>
        </w:rPr>
      </w:pPr>
    </w:p>
    <w:p w14:paraId="3F161294" w14:textId="77777777" w:rsidR="00AA6B2F" w:rsidRDefault="00AA6B2F" w:rsidP="00AA6B2F">
      <w:pPr>
        <w:rPr>
          <w:rFonts w:ascii="Arial" w:hAnsi="Arial" w:cs="Arial"/>
          <w:sz w:val="22"/>
          <w:szCs w:val="22"/>
        </w:rPr>
      </w:pPr>
      <w:r>
        <w:rPr>
          <w:rFonts w:ascii="Arial" w:hAnsi="Arial" w:cs="Arial"/>
          <w:sz w:val="22"/>
          <w:szCs w:val="22"/>
        </w:rPr>
        <w:t>In health care matters, an 18-year-old enjoys as much autonomy as any other adult.  To a more limited extent, 16 and 17-year-olds can also take medical decisions independently of their parents. The right of younger children to provide independent consent is proportionate to their competence. Therefore, a child's age alone is an unreliable predictor of any competence when making or considering a decision.</w:t>
      </w:r>
    </w:p>
    <w:p w14:paraId="4CD388EA" w14:textId="77777777" w:rsidR="00AA6B2F" w:rsidRDefault="00AA6B2F" w:rsidP="00AA6B2F">
      <w:pPr>
        <w:rPr>
          <w:rFonts w:ascii="Arial" w:hAnsi="Arial" w:cs="Arial"/>
          <w:sz w:val="22"/>
          <w:szCs w:val="22"/>
        </w:rPr>
      </w:pPr>
    </w:p>
    <w:p w14:paraId="6A3847FB" w14:textId="77777777" w:rsidR="00AA6B2F" w:rsidRDefault="00AA6B2F" w:rsidP="00AA6B2F">
      <w:pPr>
        <w:pStyle w:val="Heading2"/>
        <w:rPr>
          <w:rFonts w:ascii="Arial" w:hAnsi="Arial" w:cs="Arial"/>
          <w:color w:val="auto"/>
          <w:sz w:val="24"/>
          <w:szCs w:val="24"/>
          <w:lang w:val="en-GB"/>
        </w:rPr>
      </w:pPr>
      <w:bookmarkStart w:id="30" w:name="_Toc91750342"/>
      <w:r>
        <w:rPr>
          <w:rFonts w:ascii="Arial" w:hAnsi="Arial" w:cs="Arial"/>
          <w:color w:val="auto"/>
          <w:sz w:val="24"/>
          <w:szCs w:val="24"/>
          <w:lang w:val="en-GB"/>
        </w:rPr>
        <w:t>Gillick competence</w:t>
      </w:r>
      <w:bookmarkEnd w:id="30"/>
    </w:p>
    <w:p w14:paraId="0C2E5342" w14:textId="77777777" w:rsidR="00AA6B2F" w:rsidRDefault="00AA6B2F" w:rsidP="00AA6B2F">
      <w:pPr>
        <w:rPr>
          <w:rFonts w:ascii="Arial" w:eastAsia="Times New Roman" w:hAnsi="Arial" w:cs="Arial"/>
          <w:sz w:val="20"/>
          <w:szCs w:val="20"/>
          <w:lang w:eastAsia="en-GB"/>
        </w:rPr>
      </w:pPr>
    </w:p>
    <w:p w14:paraId="683CD41B" w14:textId="77777777" w:rsidR="00AA6B2F" w:rsidRDefault="00AA6B2F" w:rsidP="00AA6B2F">
      <w:pPr>
        <w:rPr>
          <w:rFonts w:ascii="Arial" w:eastAsia="Times New Roman" w:hAnsi="Arial" w:cs="Arial"/>
          <w:sz w:val="22"/>
          <w:szCs w:val="22"/>
          <w:lang w:eastAsia="en-GB"/>
        </w:rPr>
      </w:pPr>
      <w:r>
        <w:rPr>
          <w:rFonts w:ascii="Arial" w:eastAsia="Times New Roman" w:hAnsi="Arial" w:cs="Arial"/>
          <w:sz w:val="22"/>
          <w:szCs w:val="22"/>
          <w:lang w:eastAsia="en-GB"/>
        </w:rPr>
        <w:t>Medical professionals need to consider Gillick competency if a young person under the age of 16 wishes to receive treatment without their parents' or carers' consent or, in some cases, knowledge.</w:t>
      </w:r>
    </w:p>
    <w:p w14:paraId="00A1F471" w14:textId="77777777" w:rsidR="00AA6B2F" w:rsidRDefault="00AA6B2F" w:rsidP="00AA6B2F">
      <w:pPr>
        <w:rPr>
          <w:rFonts w:ascii="Arial" w:eastAsia="Times New Roman" w:hAnsi="Arial" w:cs="Arial"/>
          <w:sz w:val="20"/>
          <w:szCs w:val="20"/>
          <w:lang w:eastAsia="en-GB"/>
        </w:rPr>
      </w:pPr>
    </w:p>
    <w:p w14:paraId="602B445A" w14:textId="77777777" w:rsidR="00AA6B2F" w:rsidRDefault="00AA6B2F" w:rsidP="00AA6B2F">
      <w:pPr>
        <w:rPr>
          <w:rFonts w:ascii="Arial" w:eastAsia="Times New Roman" w:hAnsi="Arial" w:cs="Arial"/>
          <w:sz w:val="22"/>
          <w:szCs w:val="22"/>
          <w:lang w:eastAsia="en-GB"/>
        </w:rPr>
      </w:pPr>
      <w:r>
        <w:rPr>
          <w:rFonts w:ascii="Arial" w:eastAsia="Times New Roman" w:hAnsi="Arial" w:cs="Arial"/>
          <w:sz w:val="22"/>
          <w:szCs w:val="22"/>
          <w:lang w:eastAsia="en-GB"/>
        </w:rPr>
        <w:t xml:space="preserve">Further reading can be sought from </w:t>
      </w:r>
      <w:hyperlink r:id="rId50" w:anchor="heading-top" w:history="1">
        <w:r>
          <w:rPr>
            <w:rStyle w:val="Hyperlink"/>
            <w:rFonts w:ascii="Arial" w:hAnsi="Arial" w:cs="Arial"/>
          </w:rPr>
          <w:t>NSPCC Learning</w:t>
        </w:r>
      </w:hyperlink>
      <w:r>
        <w:rPr>
          <w:rFonts w:ascii="Arial" w:eastAsia="Times New Roman" w:hAnsi="Arial" w:cs="Arial"/>
          <w:sz w:val="22"/>
          <w:szCs w:val="22"/>
          <w:lang w:eastAsia="en-GB"/>
        </w:rPr>
        <w:t xml:space="preserve"> or </w:t>
      </w:r>
      <w:hyperlink r:id="rId51" w:history="1">
        <w:r>
          <w:rPr>
            <w:rStyle w:val="Hyperlink"/>
            <w:rFonts w:ascii="Arial" w:eastAsia="Times New Roman" w:hAnsi="Arial" w:cs="Arial"/>
            <w:lang w:eastAsia="en-GB"/>
          </w:rPr>
          <w:t xml:space="preserve">GP </w:t>
        </w:r>
        <w:proofErr w:type="spellStart"/>
        <w:r>
          <w:rPr>
            <w:rStyle w:val="Hyperlink"/>
            <w:rFonts w:ascii="Arial" w:eastAsia="Times New Roman" w:hAnsi="Arial" w:cs="Arial"/>
            <w:lang w:eastAsia="en-GB"/>
          </w:rPr>
          <w:t>Mythbuster</w:t>
        </w:r>
        <w:proofErr w:type="spellEnd"/>
        <w:r>
          <w:rPr>
            <w:rStyle w:val="Hyperlink"/>
            <w:rFonts w:ascii="Arial" w:eastAsia="Times New Roman" w:hAnsi="Arial" w:cs="Arial"/>
            <w:lang w:eastAsia="en-GB"/>
          </w:rPr>
          <w:t xml:space="preserve"> 8 – Gillick competence and Fraser guidelines.</w:t>
        </w:r>
      </w:hyperlink>
    </w:p>
    <w:p w14:paraId="76EA1E77" w14:textId="77777777" w:rsidR="00AA6B2F" w:rsidRDefault="00AA6B2F" w:rsidP="00AA6B2F">
      <w:pPr>
        <w:pStyle w:val="Heading2"/>
        <w:rPr>
          <w:rFonts w:ascii="Arial" w:hAnsi="Arial" w:cs="Arial"/>
          <w:color w:val="auto"/>
          <w:sz w:val="24"/>
          <w:szCs w:val="24"/>
          <w:lang w:val="en-GB"/>
        </w:rPr>
      </w:pPr>
      <w:bookmarkStart w:id="31" w:name="_Toc91750343"/>
      <w:r>
        <w:rPr>
          <w:rFonts w:ascii="Arial" w:hAnsi="Arial" w:cs="Arial"/>
          <w:color w:val="auto"/>
          <w:sz w:val="24"/>
          <w:szCs w:val="24"/>
          <w:lang w:val="en-GB"/>
        </w:rPr>
        <w:lastRenderedPageBreak/>
        <w:t>Fraser guidelines</w:t>
      </w:r>
      <w:bookmarkEnd w:id="31"/>
    </w:p>
    <w:p w14:paraId="0E9FA482" w14:textId="77777777" w:rsidR="00AA6B2F" w:rsidRDefault="00AA6B2F" w:rsidP="00AA6B2F">
      <w:pPr>
        <w:rPr>
          <w:rFonts w:ascii="Arial" w:hAnsi="Arial" w:cs="Arial"/>
          <w:sz w:val="22"/>
          <w:szCs w:val="22"/>
        </w:rPr>
      </w:pPr>
    </w:p>
    <w:p w14:paraId="1D76CAA6" w14:textId="77777777" w:rsidR="00AA6B2F" w:rsidRDefault="00AA6B2F" w:rsidP="00AA6B2F">
      <w:pPr>
        <w:rPr>
          <w:rFonts w:ascii="Arial" w:hAnsi="Arial" w:cs="Arial"/>
          <w:sz w:val="22"/>
          <w:szCs w:val="22"/>
        </w:rPr>
      </w:pPr>
      <w:r>
        <w:rPr>
          <w:rFonts w:ascii="Arial" w:hAnsi="Arial" w:cs="Arial"/>
          <w:sz w:val="22"/>
          <w:szCs w:val="22"/>
        </w:rPr>
        <w:t xml:space="preserve">The Fraser guidelines apply specifically to advice and treatment about contraception, sexual </w:t>
      </w:r>
      <w:proofErr w:type="gramStart"/>
      <w:r>
        <w:rPr>
          <w:rFonts w:ascii="Arial" w:hAnsi="Arial" w:cs="Arial"/>
          <w:sz w:val="22"/>
          <w:szCs w:val="22"/>
        </w:rPr>
        <w:t>health</w:t>
      </w:r>
      <w:proofErr w:type="gramEnd"/>
      <w:r>
        <w:rPr>
          <w:rFonts w:ascii="Arial" w:hAnsi="Arial" w:cs="Arial"/>
          <w:sz w:val="22"/>
          <w:szCs w:val="22"/>
        </w:rPr>
        <w:t xml:space="preserve"> and termination of pregnancy. They may be used by healthcare professionals working with under 16-year-olds.</w:t>
      </w:r>
    </w:p>
    <w:p w14:paraId="7148F75A" w14:textId="77777777" w:rsidR="00AA6B2F" w:rsidRDefault="00AA6B2F" w:rsidP="00AA6B2F">
      <w:pPr>
        <w:rPr>
          <w:rFonts w:ascii="Arial" w:hAnsi="Arial" w:cs="Arial"/>
          <w:sz w:val="22"/>
          <w:szCs w:val="22"/>
        </w:rPr>
      </w:pPr>
    </w:p>
    <w:p w14:paraId="1746289D" w14:textId="77777777" w:rsidR="00AA6B2F" w:rsidRDefault="00AA6B2F" w:rsidP="00AA6B2F">
      <w:pPr>
        <w:rPr>
          <w:rFonts w:ascii="Arial" w:eastAsia="Times New Roman" w:hAnsi="Arial" w:cs="Arial"/>
          <w:sz w:val="22"/>
          <w:szCs w:val="22"/>
          <w:lang w:eastAsia="en-GB"/>
        </w:rPr>
      </w:pPr>
      <w:r>
        <w:rPr>
          <w:rFonts w:ascii="Arial" w:eastAsia="Times New Roman" w:hAnsi="Arial" w:cs="Arial"/>
          <w:sz w:val="22"/>
          <w:szCs w:val="22"/>
          <w:lang w:eastAsia="en-GB"/>
        </w:rPr>
        <w:t xml:space="preserve">Further reading can be sought from </w:t>
      </w:r>
      <w:hyperlink r:id="rId52" w:anchor="heading-top" w:history="1">
        <w:r>
          <w:rPr>
            <w:rStyle w:val="Hyperlink"/>
            <w:rFonts w:ascii="Arial" w:eastAsia="Times New Roman" w:hAnsi="Arial" w:cs="Arial"/>
            <w:lang w:eastAsia="en-GB"/>
          </w:rPr>
          <w:t>NSPCC Learning</w:t>
        </w:r>
      </w:hyperlink>
      <w:r>
        <w:rPr>
          <w:rFonts w:ascii="Arial" w:eastAsia="Times New Roman" w:hAnsi="Arial" w:cs="Arial"/>
          <w:sz w:val="22"/>
          <w:szCs w:val="22"/>
          <w:lang w:eastAsia="en-GB"/>
        </w:rPr>
        <w:t xml:space="preserve"> or </w:t>
      </w:r>
      <w:hyperlink r:id="rId53" w:history="1">
        <w:r>
          <w:rPr>
            <w:rStyle w:val="Hyperlink"/>
            <w:rFonts w:ascii="Arial" w:eastAsia="Times New Roman" w:hAnsi="Arial" w:cs="Arial"/>
            <w:lang w:eastAsia="en-GB"/>
          </w:rPr>
          <w:t xml:space="preserve">GP </w:t>
        </w:r>
        <w:proofErr w:type="spellStart"/>
        <w:r>
          <w:rPr>
            <w:rStyle w:val="Hyperlink"/>
            <w:rFonts w:ascii="Arial" w:eastAsia="Times New Roman" w:hAnsi="Arial" w:cs="Arial"/>
            <w:lang w:eastAsia="en-GB"/>
          </w:rPr>
          <w:t>Mythbuster</w:t>
        </w:r>
        <w:proofErr w:type="spellEnd"/>
        <w:r>
          <w:rPr>
            <w:rStyle w:val="Hyperlink"/>
            <w:rFonts w:ascii="Arial" w:eastAsia="Times New Roman" w:hAnsi="Arial" w:cs="Arial"/>
            <w:lang w:eastAsia="en-GB"/>
          </w:rPr>
          <w:t xml:space="preserve"> 8 - Gillick competence and Fraser guidelines.</w:t>
        </w:r>
      </w:hyperlink>
    </w:p>
    <w:p w14:paraId="089BDB6D" w14:textId="77777777" w:rsidR="008C11B9" w:rsidRPr="009A0063" w:rsidRDefault="008C11B9" w:rsidP="007A0CF7">
      <w:pPr>
        <w:rPr>
          <w:rFonts w:ascii="Arial" w:eastAsia="Times New Roman" w:hAnsi="Arial" w:cs="Arial"/>
          <w:sz w:val="22"/>
          <w:szCs w:val="22"/>
          <w:lang w:eastAsia="en-GB"/>
        </w:rPr>
      </w:pPr>
    </w:p>
    <w:p w14:paraId="5BF94D17" w14:textId="7D65ABCD" w:rsidR="00CD211E" w:rsidRPr="000858D5" w:rsidRDefault="00CD211E" w:rsidP="00CD211E">
      <w:pPr>
        <w:pStyle w:val="Heading1"/>
        <w:keepLines/>
        <w:pBdr>
          <w:bottom w:val="single" w:sz="4" w:space="1" w:color="595959" w:themeColor="text1" w:themeTint="A6"/>
        </w:pBdr>
        <w:spacing w:before="360" w:after="160" w:line="259" w:lineRule="auto"/>
        <w:rPr>
          <w:sz w:val="28"/>
          <w:szCs w:val="28"/>
        </w:rPr>
      </w:pPr>
      <w:bookmarkStart w:id="32" w:name="_Toc494997220"/>
      <w:r>
        <w:rPr>
          <w:sz w:val="28"/>
          <w:szCs w:val="28"/>
        </w:rPr>
        <w:t>Policy</w:t>
      </w:r>
      <w:bookmarkEnd w:id="32"/>
    </w:p>
    <w:p w14:paraId="2A7D1F0C" w14:textId="77777777" w:rsidR="00AA6B2F" w:rsidRDefault="00AA6B2F" w:rsidP="00AA6B2F">
      <w:pPr>
        <w:pStyle w:val="Heading2"/>
        <w:spacing w:line="256" w:lineRule="auto"/>
        <w:rPr>
          <w:rFonts w:ascii="Arial" w:hAnsi="Arial" w:cs="Arial"/>
          <w:sz w:val="24"/>
          <w:szCs w:val="24"/>
          <w:lang w:val="en-GB"/>
        </w:rPr>
      </w:pPr>
      <w:bookmarkStart w:id="33" w:name="_Toc91750345"/>
      <w:r>
        <w:rPr>
          <w:rFonts w:ascii="Arial" w:hAnsi="Arial" w:cs="Arial"/>
          <w:sz w:val="24"/>
          <w:szCs w:val="24"/>
          <w:lang w:val="en-GB"/>
        </w:rPr>
        <w:t>General overview</w:t>
      </w:r>
      <w:bookmarkEnd w:id="33"/>
    </w:p>
    <w:p w14:paraId="1D1CD56B" w14:textId="77777777" w:rsidR="00AA6B2F" w:rsidRDefault="00AA6B2F" w:rsidP="00AA6B2F"/>
    <w:p w14:paraId="76343D57"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Consent must be voluntary and informed if it is to be deemed valid, whilst the person consenting must have the capacity to do so. </w:t>
      </w:r>
    </w:p>
    <w:p w14:paraId="4D2219C8"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3043EC24" w14:textId="77777777" w:rsidR="00AA6B2F" w:rsidRDefault="00AA6B2F" w:rsidP="00AA6B2F">
      <w:pPr>
        <w:pStyle w:val="NormalWeb"/>
        <w:shd w:val="clear" w:color="auto" w:fill="FFFFFF"/>
        <w:spacing w:before="0" w:beforeAutospacing="0" w:after="0" w:afterAutospacing="0"/>
        <w:rPr>
          <w:rFonts w:ascii="Arial" w:hAnsi="Arial" w:cs="Arial"/>
          <w:sz w:val="22"/>
          <w:szCs w:val="22"/>
          <w:lang w:eastAsia="en-US"/>
        </w:rPr>
      </w:pPr>
      <w:r>
        <w:rPr>
          <w:rFonts w:ascii="Arial" w:hAnsi="Arial" w:cs="Arial"/>
          <w:color w:val="000000" w:themeColor="text1"/>
          <w:sz w:val="22"/>
          <w:szCs w:val="22"/>
        </w:rPr>
        <w:t xml:space="preserve">See extract from </w:t>
      </w:r>
      <w:hyperlink r:id="rId54" w:history="1">
        <w:r>
          <w:rPr>
            <w:rStyle w:val="Hyperlink"/>
            <w:rFonts w:ascii="Arial" w:hAnsi="Arial" w:cs="Arial"/>
            <w:color w:val="4472C4" w:themeColor="accent1"/>
            <w:sz w:val="22"/>
            <w:szCs w:val="22"/>
            <w:lang w:eastAsia="en-US"/>
          </w:rPr>
          <w:t>medicalprotection.org</w:t>
        </w:r>
      </w:hyperlink>
      <w:r>
        <w:rPr>
          <w:rFonts w:ascii="Arial" w:hAnsi="Arial" w:cs="Arial"/>
          <w:sz w:val="22"/>
          <w:szCs w:val="22"/>
          <w:lang w:eastAsia="en-US"/>
        </w:rPr>
        <w:t xml:space="preserve"> dated 6 January 2020:</w:t>
      </w:r>
    </w:p>
    <w:p w14:paraId="38C6FCCB" w14:textId="77777777" w:rsidR="00AA6B2F" w:rsidRDefault="00AA6B2F" w:rsidP="00AA6B2F">
      <w:pPr>
        <w:pStyle w:val="NormalWeb"/>
        <w:shd w:val="clear" w:color="auto" w:fill="FFFFFF"/>
        <w:spacing w:before="0" w:beforeAutospacing="0" w:after="0" w:afterAutospacing="0"/>
        <w:rPr>
          <w:i/>
          <w:iCs/>
        </w:rPr>
      </w:pPr>
    </w:p>
    <w:p w14:paraId="44DCB7CF" w14:textId="77777777" w:rsidR="00AA6B2F" w:rsidRDefault="00AA6B2F" w:rsidP="00AA6B2F">
      <w:pPr>
        <w:shd w:val="clear" w:color="auto" w:fill="FFFFFF"/>
        <w:spacing w:after="360"/>
        <w:textAlignment w:val="baseline"/>
        <w:rPr>
          <w:rFonts w:ascii="Arial" w:eastAsia="Times New Roman" w:hAnsi="Arial" w:cs="Arial"/>
          <w:i/>
          <w:iCs/>
          <w:sz w:val="22"/>
          <w:szCs w:val="22"/>
          <w:lang w:eastAsia="en-GB"/>
        </w:rPr>
      </w:pPr>
      <w:r>
        <w:rPr>
          <w:rFonts w:ascii="Arial" w:eastAsia="Times New Roman" w:hAnsi="Arial" w:cs="Arial"/>
          <w:i/>
          <w:iCs/>
          <w:sz w:val="22"/>
          <w:szCs w:val="22"/>
          <w:lang w:eastAsia="en-GB"/>
        </w:rPr>
        <w:t xml:space="preserve">Respect for patients’ autonomy is expressed in consent law; to impose care or treatment on people without respecting their wishes and right to self-determination is not only unethical, but illegal. </w:t>
      </w:r>
    </w:p>
    <w:p w14:paraId="628465A6" w14:textId="77777777" w:rsidR="00AA6B2F" w:rsidRDefault="00AA6B2F" w:rsidP="00AA6B2F">
      <w:pPr>
        <w:shd w:val="clear" w:color="auto" w:fill="FFFFFF"/>
        <w:spacing w:after="240"/>
        <w:textAlignment w:val="baseline"/>
        <w:rPr>
          <w:rFonts w:ascii="Arial" w:eastAsia="Times New Roman" w:hAnsi="Arial" w:cs="Arial"/>
          <w:i/>
          <w:iCs/>
          <w:sz w:val="22"/>
          <w:szCs w:val="22"/>
          <w:lang w:eastAsia="en-GB"/>
        </w:rPr>
      </w:pPr>
      <w:r>
        <w:rPr>
          <w:rFonts w:ascii="Arial" w:eastAsia="Times New Roman" w:hAnsi="Arial" w:cs="Arial"/>
          <w:i/>
          <w:iCs/>
          <w:sz w:val="22"/>
          <w:szCs w:val="22"/>
          <w:lang w:eastAsia="en-GB"/>
        </w:rPr>
        <w:t>For consent to be valid:</w:t>
      </w:r>
    </w:p>
    <w:p w14:paraId="0C3C8F43" w14:textId="77777777" w:rsidR="00AA6B2F" w:rsidRDefault="00AA6B2F" w:rsidP="00AA6B2F">
      <w:pPr>
        <w:numPr>
          <w:ilvl w:val="0"/>
          <w:numId w:val="19"/>
        </w:numPr>
        <w:shd w:val="clear" w:color="auto" w:fill="FFFFFF"/>
        <w:spacing w:after="240"/>
        <w:ind w:left="851" w:hanging="425"/>
        <w:textAlignment w:val="baseline"/>
        <w:rPr>
          <w:rFonts w:ascii="Arial" w:eastAsia="Times New Roman" w:hAnsi="Arial" w:cs="Arial"/>
          <w:i/>
          <w:iCs/>
          <w:sz w:val="22"/>
          <w:szCs w:val="22"/>
          <w:lang w:eastAsia="en-GB"/>
        </w:rPr>
      </w:pPr>
      <w:r>
        <w:rPr>
          <w:rFonts w:ascii="Arial" w:eastAsia="Times New Roman" w:hAnsi="Arial" w:cs="Arial"/>
          <w:i/>
          <w:iCs/>
          <w:sz w:val="22"/>
          <w:szCs w:val="22"/>
          <w:lang w:eastAsia="en-GB"/>
        </w:rPr>
        <w:t xml:space="preserve">The patient must be competent and mental capacity is </w:t>
      </w:r>
      <w:proofErr w:type="gramStart"/>
      <w:r>
        <w:rPr>
          <w:rFonts w:ascii="Arial" w:eastAsia="Times New Roman" w:hAnsi="Arial" w:cs="Arial"/>
          <w:i/>
          <w:iCs/>
          <w:sz w:val="22"/>
          <w:szCs w:val="22"/>
          <w:lang w:eastAsia="en-GB"/>
        </w:rPr>
        <w:t>decision-specific</w:t>
      </w:r>
      <w:proofErr w:type="gramEnd"/>
      <w:r>
        <w:rPr>
          <w:rFonts w:ascii="Arial" w:eastAsia="Times New Roman" w:hAnsi="Arial" w:cs="Arial"/>
          <w:i/>
          <w:iCs/>
          <w:sz w:val="22"/>
          <w:szCs w:val="22"/>
          <w:lang w:eastAsia="en-GB"/>
        </w:rPr>
        <w:t xml:space="preserve">. Assessment of a person’s capacity should be based on his/her ability to understand, </w:t>
      </w:r>
      <w:proofErr w:type="gramStart"/>
      <w:r>
        <w:rPr>
          <w:rFonts w:ascii="Arial" w:eastAsia="Times New Roman" w:hAnsi="Arial" w:cs="Arial"/>
          <w:i/>
          <w:iCs/>
          <w:sz w:val="22"/>
          <w:szCs w:val="22"/>
          <w:lang w:eastAsia="en-GB"/>
        </w:rPr>
        <w:t>retain</w:t>
      </w:r>
      <w:proofErr w:type="gramEnd"/>
      <w:r>
        <w:rPr>
          <w:rFonts w:ascii="Arial" w:eastAsia="Times New Roman" w:hAnsi="Arial" w:cs="Arial"/>
          <w:i/>
          <w:iCs/>
          <w:sz w:val="22"/>
          <w:szCs w:val="22"/>
          <w:lang w:eastAsia="en-GB"/>
        </w:rPr>
        <w:t xml:space="preserve"> and weigh in the balance the information relevant to a particular decision. The person must also be able to communicate the decision.</w:t>
      </w:r>
    </w:p>
    <w:p w14:paraId="0A50BDC8" w14:textId="77777777" w:rsidR="00AA6B2F" w:rsidRDefault="00AA6B2F" w:rsidP="00AA6B2F">
      <w:pPr>
        <w:numPr>
          <w:ilvl w:val="0"/>
          <w:numId w:val="19"/>
        </w:numPr>
        <w:shd w:val="clear" w:color="auto" w:fill="FFFFFF"/>
        <w:spacing w:after="240"/>
        <w:ind w:left="851" w:hanging="425"/>
        <w:textAlignment w:val="baseline"/>
        <w:rPr>
          <w:rFonts w:ascii="Arial" w:eastAsia="Times New Roman" w:hAnsi="Arial" w:cs="Arial"/>
          <w:i/>
          <w:iCs/>
          <w:sz w:val="22"/>
          <w:szCs w:val="22"/>
          <w:lang w:eastAsia="en-GB"/>
        </w:rPr>
      </w:pPr>
      <w:r>
        <w:rPr>
          <w:rFonts w:ascii="Arial" w:eastAsia="Times New Roman" w:hAnsi="Arial" w:cs="Arial"/>
          <w:i/>
          <w:iCs/>
          <w:sz w:val="22"/>
          <w:szCs w:val="22"/>
          <w:lang w:eastAsia="en-GB"/>
        </w:rPr>
        <w:t>The patient must have sufficient information to make a choice as, without adequate information, patients are unable to make decisions about their treatment. Patients should be given time to ask questions. The GMC and the courts expect patients to be given all information material to their decision, with the proviso that it would not cause the patient serious harm.</w:t>
      </w:r>
    </w:p>
    <w:p w14:paraId="568D5D39" w14:textId="77777777" w:rsidR="00AA6B2F" w:rsidRDefault="00AA6B2F" w:rsidP="00AA6B2F">
      <w:pPr>
        <w:numPr>
          <w:ilvl w:val="0"/>
          <w:numId w:val="19"/>
        </w:numPr>
        <w:shd w:val="clear" w:color="auto" w:fill="FFFFFF"/>
        <w:spacing w:after="240"/>
        <w:ind w:left="851" w:hanging="425"/>
        <w:textAlignment w:val="baseline"/>
        <w:rPr>
          <w:rFonts w:ascii="Arial" w:eastAsia="Times New Roman" w:hAnsi="Arial" w:cs="Arial"/>
          <w:i/>
          <w:iCs/>
          <w:sz w:val="22"/>
          <w:szCs w:val="22"/>
          <w:lang w:eastAsia="en-GB"/>
        </w:rPr>
      </w:pPr>
      <w:r>
        <w:rPr>
          <w:rFonts w:ascii="Arial" w:eastAsia="Times New Roman" w:hAnsi="Arial" w:cs="Arial"/>
          <w:i/>
          <w:iCs/>
          <w:sz w:val="22"/>
          <w:szCs w:val="22"/>
          <w:lang w:eastAsia="en-GB"/>
        </w:rPr>
        <w:t>The patient must be able to give their consent freely as pressuring patients into consenting to treatment invalidates the consent.</w:t>
      </w:r>
    </w:p>
    <w:p w14:paraId="083E3D0F"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Clinicians must respect the decision of an adult who has the capacity to make a voluntary and informed decision, regardless of the consequences.  If, however, an adult does not have capacity, clinicians can administer treatment if it is in the best interest of the patient. </w:t>
      </w:r>
    </w:p>
    <w:p w14:paraId="56B92AC2"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18AA4B2A"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In such instances, clinicians should seek guidance from the patient’s relatives or friends.  </w:t>
      </w:r>
    </w:p>
    <w:p w14:paraId="5812594E" w14:textId="77777777" w:rsidR="00AA6B2F" w:rsidRDefault="00AA6B2F" w:rsidP="00AA6B2F">
      <w:pPr>
        <w:pStyle w:val="Heading2"/>
        <w:spacing w:line="256" w:lineRule="auto"/>
        <w:rPr>
          <w:rFonts w:ascii="Arial" w:hAnsi="Arial" w:cs="Arial"/>
          <w:sz w:val="24"/>
          <w:szCs w:val="24"/>
          <w:lang w:val="en-GB"/>
        </w:rPr>
      </w:pPr>
      <w:bookmarkStart w:id="34" w:name="_Toc91750346"/>
      <w:r>
        <w:rPr>
          <w:rFonts w:ascii="Arial" w:hAnsi="Arial" w:cs="Arial"/>
          <w:sz w:val="24"/>
          <w:szCs w:val="24"/>
          <w:lang w:val="en-GB"/>
        </w:rPr>
        <w:t>Key principles for consent</w:t>
      </w:r>
      <w:bookmarkEnd w:id="34"/>
    </w:p>
    <w:p w14:paraId="52F8F760"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34370940"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Clinicians must be mindful that a patient’s capacity to give consent may be temporarily affected by factors such as pain, fatigue, </w:t>
      </w:r>
      <w:proofErr w:type="gramStart"/>
      <w:r>
        <w:rPr>
          <w:rFonts w:ascii="Arial" w:hAnsi="Arial" w:cs="Arial"/>
          <w:color w:val="000000" w:themeColor="text1"/>
          <w:sz w:val="22"/>
          <w:szCs w:val="22"/>
        </w:rPr>
        <w:t>illness</w:t>
      </w:r>
      <w:proofErr w:type="gramEnd"/>
      <w:r>
        <w:rPr>
          <w:rFonts w:ascii="Arial" w:hAnsi="Arial" w:cs="Arial"/>
          <w:color w:val="000000" w:themeColor="text1"/>
          <w:sz w:val="22"/>
          <w:szCs w:val="22"/>
        </w:rPr>
        <w:t xml:space="preserve"> or the side effects of medication. In such cases, clinicians must not assume the patient does not have the capacity to consent. </w:t>
      </w:r>
    </w:p>
    <w:p w14:paraId="3E6A9AE4"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1AC4F0FA"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lastRenderedPageBreak/>
        <w:t xml:space="preserve">The British Medical Association summarised landmark case </w:t>
      </w:r>
      <w:hyperlink r:id="rId55" w:history="1">
        <w:r>
          <w:rPr>
            <w:rStyle w:val="Hyperlink"/>
            <w:rFonts w:ascii="Arial" w:hAnsi="Arial" w:cs="Arial"/>
          </w:rPr>
          <w:t>Montgomery Vs Lanarkshire Health Board</w:t>
        </w:r>
      </w:hyperlink>
      <w:r>
        <w:rPr>
          <w:rFonts w:ascii="Arial" w:hAnsi="Arial" w:cs="Arial"/>
          <w:color w:val="000000" w:themeColor="text1"/>
          <w:sz w:val="22"/>
          <w:szCs w:val="22"/>
        </w:rPr>
        <w:t xml:space="preserve"> in 2015, this stated that doctors* must not:</w:t>
      </w:r>
    </w:p>
    <w:p w14:paraId="105D59A0"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68440871" w14:textId="77777777" w:rsidR="00AA6B2F" w:rsidRDefault="00AA6B2F" w:rsidP="00AA6B2F">
      <w:pPr>
        <w:pStyle w:val="NormalWeb"/>
        <w:numPr>
          <w:ilvl w:val="0"/>
          <w:numId w:val="20"/>
        </w:numPr>
        <w:shd w:val="clear" w:color="auto" w:fill="FFFFFF"/>
        <w:spacing w:before="0" w:beforeAutospacing="0" w:after="0" w:afterAutospacing="0"/>
        <w:ind w:left="714" w:hanging="357"/>
        <w:rPr>
          <w:rFonts w:ascii="Arial" w:hAnsi="Arial" w:cs="Arial"/>
          <w:color w:val="000000" w:themeColor="text1"/>
          <w:sz w:val="22"/>
          <w:szCs w:val="22"/>
        </w:rPr>
      </w:pPr>
      <w:r>
        <w:rPr>
          <w:rFonts w:ascii="Arial" w:hAnsi="Arial" w:cs="Arial"/>
          <w:color w:val="000000" w:themeColor="text1"/>
          <w:sz w:val="22"/>
          <w:szCs w:val="22"/>
        </w:rPr>
        <w:t>Make assumptions about what a patient needed to know</w:t>
      </w:r>
    </w:p>
    <w:p w14:paraId="1504D588" w14:textId="77777777" w:rsidR="00AA6B2F" w:rsidRDefault="00AA6B2F" w:rsidP="00AA6B2F">
      <w:pPr>
        <w:pStyle w:val="NormalWeb"/>
        <w:shd w:val="clear" w:color="auto" w:fill="FFFFFF"/>
        <w:spacing w:before="0" w:beforeAutospacing="0" w:after="0" w:afterAutospacing="0"/>
        <w:ind w:left="714"/>
        <w:rPr>
          <w:rFonts w:ascii="Arial" w:hAnsi="Arial" w:cs="Arial"/>
          <w:color w:val="000000" w:themeColor="text1"/>
          <w:sz w:val="22"/>
          <w:szCs w:val="22"/>
        </w:rPr>
      </w:pPr>
    </w:p>
    <w:p w14:paraId="75808D42" w14:textId="77777777" w:rsidR="00AA6B2F" w:rsidRDefault="00AA6B2F" w:rsidP="00AA6B2F">
      <w:pPr>
        <w:pStyle w:val="NormalWeb"/>
        <w:numPr>
          <w:ilvl w:val="0"/>
          <w:numId w:val="20"/>
        </w:numPr>
        <w:shd w:val="clear" w:color="auto" w:fill="FFFFFF"/>
        <w:spacing w:before="0" w:beforeAutospacing="0" w:after="0" w:afterAutospacing="0"/>
        <w:ind w:left="714" w:hanging="357"/>
        <w:rPr>
          <w:rFonts w:ascii="Arial" w:hAnsi="Arial" w:cs="Arial"/>
          <w:sz w:val="22"/>
          <w:szCs w:val="22"/>
        </w:rPr>
      </w:pPr>
      <w:r>
        <w:rPr>
          <w:rFonts w:ascii="Arial" w:hAnsi="Arial" w:cs="Arial"/>
          <w:color w:val="000000" w:themeColor="text1"/>
          <w:sz w:val="22"/>
          <w:szCs w:val="22"/>
        </w:rPr>
        <w:t xml:space="preserve">Must take reasonable care to ensure that the patient is aware of any material </w:t>
      </w:r>
      <w:r>
        <w:rPr>
          <w:rFonts w:ascii="Arial" w:hAnsi="Arial" w:cs="Arial"/>
          <w:sz w:val="22"/>
          <w:szCs w:val="22"/>
        </w:rPr>
        <w:t>risks involved in any treatment, and of any reasonable alternative or variant treatments</w:t>
      </w:r>
    </w:p>
    <w:p w14:paraId="5FB8086C" w14:textId="77777777" w:rsidR="00AA6B2F" w:rsidRDefault="00AA6B2F" w:rsidP="00AA6B2F">
      <w:pPr>
        <w:pStyle w:val="NormalWeb"/>
        <w:shd w:val="clear" w:color="auto" w:fill="FFFFFF"/>
        <w:spacing w:before="320" w:beforeAutospacing="0" w:after="320" w:afterAutospacing="0"/>
        <w:rPr>
          <w:rFonts w:ascii="Arial" w:hAnsi="Arial" w:cs="Arial"/>
          <w:sz w:val="22"/>
          <w:szCs w:val="22"/>
        </w:rPr>
      </w:pPr>
      <w:r>
        <w:rPr>
          <w:rFonts w:ascii="Arial" w:hAnsi="Arial" w:cs="Arial"/>
          <w:sz w:val="22"/>
          <w:szCs w:val="22"/>
        </w:rPr>
        <w:t>The British Medical Association </w:t>
      </w:r>
      <w:hyperlink r:id="rId56" w:history="1">
        <w:r>
          <w:rPr>
            <w:rStyle w:val="Hyperlink"/>
            <w:rFonts w:ascii="Arial" w:hAnsi="Arial" w:cs="Arial"/>
          </w:rPr>
          <w:t>Consent toolkit for doctors</w:t>
        </w:r>
      </w:hyperlink>
      <w:r>
        <w:rPr>
          <w:rStyle w:val="Hyperlink"/>
          <w:rFonts w:ascii="Arial" w:hAnsi="Arial" w:cs="Arial"/>
        </w:rPr>
        <w:t xml:space="preserve"> further details this case.</w:t>
      </w:r>
    </w:p>
    <w:p w14:paraId="3228035B" w14:textId="77777777" w:rsidR="00AA6B2F" w:rsidRDefault="00AA6B2F" w:rsidP="00AA6B2F">
      <w:pPr>
        <w:pStyle w:val="NormalWeb"/>
        <w:shd w:val="clear" w:color="auto" w:fill="FFFFFF"/>
        <w:spacing w:before="320" w:beforeAutospacing="0" w:after="320" w:afterAutospacing="0"/>
        <w:rPr>
          <w:rFonts w:ascii="Arial" w:hAnsi="Arial" w:cs="Arial"/>
          <w:sz w:val="22"/>
          <w:szCs w:val="22"/>
        </w:rPr>
      </w:pPr>
      <w:r>
        <w:rPr>
          <w:rFonts w:ascii="Arial" w:hAnsi="Arial" w:cs="Arial"/>
          <w:sz w:val="22"/>
          <w:szCs w:val="22"/>
        </w:rPr>
        <w:t>The Royal College of Surgeons has described </w:t>
      </w:r>
      <w:hyperlink r:id="rId57" w:history="1">
        <w:r>
          <w:rPr>
            <w:rStyle w:val="Hyperlink"/>
            <w:rFonts w:ascii="Arial" w:hAnsi="Arial" w:cs="Arial"/>
          </w:rPr>
          <w:t>key principles for consent and supported decision making</w:t>
        </w:r>
      </w:hyperlink>
      <w:r>
        <w:rPr>
          <w:rStyle w:val="Hyperlink"/>
        </w:rPr>
        <w:t xml:space="preserve"> </w:t>
      </w:r>
      <w:r>
        <w:rPr>
          <w:rFonts w:ascii="Arial" w:hAnsi="Arial" w:cs="Arial"/>
          <w:sz w:val="22"/>
          <w:szCs w:val="22"/>
        </w:rPr>
        <w:t>and advises that any discussion about consent should:</w:t>
      </w:r>
    </w:p>
    <w:p w14:paraId="44159805" w14:textId="77777777" w:rsidR="00AA6B2F" w:rsidRDefault="00AA6B2F" w:rsidP="00AA6B2F">
      <w:pPr>
        <w:numPr>
          <w:ilvl w:val="0"/>
          <w:numId w:val="21"/>
        </w:numPr>
        <w:rPr>
          <w:rFonts w:ascii="Arial" w:hAnsi="Arial" w:cs="Arial"/>
          <w:sz w:val="22"/>
          <w:szCs w:val="22"/>
        </w:rPr>
      </w:pPr>
      <w:r>
        <w:rPr>
          <w:rFonts w:ascii="Arial" w:hAnsi="Arial" w:cs="Arial"/>
          <w:sz w:val="22"/>
          <w:szCs w:val="22"/>
        </w:rPr>
        <w:t xml:space="preserve">Aim to give the patient information they need to </w:t>
      </w:r>
      <w:proofErr w:type="gramStart"/>
      <w:r>
        <w:rPr>
          <w:rFonts w:ascii="Arial" w:hAnsi="Arial" w:cs="Arial"/>
          <w:sz w:val="22"/>
          <w:szCs w:val="22"/>
        </w:rPr>
        <w:t>make a decision</w:t>
      </w:r>
      <w:proofErr w:type="gramEnd"/>
      <w:r>
        <w:rPr>
          <w:rFonts w:ascii="Arial" w:hAnsi="Arial" w:cs="Arial"/>
          <w:sz w:val="22"/>
          <w:szCs w:val="22"/>
        </w:rPr>
        <w:t xml:space="preserve"> about what treatment or procedure (if any) they want</w:t>
      </w:r>
    </w:p>
    <w:p w14:paraId="0B75C91E" w14:textId="77777777" w:rsidR="00AA6B2F" w:rsidRDefault="00AA6B2F" w:rsidP="00AA6B2F">
      <w:pPr>
        <w:ind w:left="720"/>
        <w:rPr>
          <w:rFonts w:ascii="Arial" w:hAnsi="Arial" w:cs="Arial"/>
          <w:sz w:val="22"/>
          <w:szCs w:val="22"/>
        </w:rPr>
      </w:pPr>
    </w:p>
    <w:p w14:paraId="40B13A72" w14:textId="77777777" w:rsidR="00AA6B2F" w:rsidRDefault="00AA6B2F" w:rsidP="00AA6B2F">
      <w:pPr>
        <w:numPr>
          <w:ilvl w:val="0"/>
          <w:numId w:val="21"/>
        </w:numPr>
        <w:rPr>
          <w:rFonts w:ascii="Arial" w:hAnsi="Arial" w:cs="Arial"/>
          <w:sz w:val="22"/>
          <w:szCs w:val="22"/>
        </w:rPr>
      </w:pPr>
      <w:r>
        <w:rPr>
          <w:rFonts w:ascii="Arial" w:hAnsi="Arial" w:cs="Arial"/>
          <w:sz w:val="22"/>
          <w:szCs w:val="22"/>
        </w:rPr>
        <w:t>Be tailored to the individual patient – this needs time to get to know the patient well enough to understand their views and values</w:t>
      </w:r>
    </w:p>
    <w:p w14:paraId="6A1C0A3E" w14:textId="77777777" w:rsidR="00AA6B2F" w:rsidRDefault="00AA6B2F" w:rsidP="00AA6B2F">
      <w:pPr>
        <w:pStyle w:val="ListParagraph"/>
        <w:rPr>
          <w:rFonts w:ascii="Arial" w:hAnsi="Arial" w:cs="Arial"/>
          <w:sz w:val="22"/>
          <w:szCs w:val="22"/>
        </w:rPr>
      </w:pPr>
    </w:p>
    <w:p w14:paraId="50C1DCC4" w14:textId="77777777" w:rsidR="00AA6B2F" w:rsidRDefault="00AA6B2F" w:rsidP="00AA6B2F">
      <w:pPr>
        <w:numPr>
          <w:ilvl w:val="0"/>
          <w:numId w:val="21"/>
        </w:numPr>
        <w:rPr>
          <w:rFonts w:ascii="Arial" w:hAnsi="Arial" w:cs="Arial"/>
          <w:sz w:val="22"/>
          <w:szCs w:val="22"/>
        </w:rPr>
      </w:pPr>
      <w:r>
        <w:rPr>
          <w:rFonts w:ascii="Arial" w:hAnsi="Arial" w:cs="Arial"/>
          <w:sz w:val="22"/>
          <w:szCs w:val="22"/>
        </w:rPr>
        <w:t>Explain all reasonable treatment options, along with their implications</w:t>
      </w:r>
    </w:p>
    <w:p w14:paraId="383F28CA" w14:textId="77777777" w:rsidR="00AA6B2F" w:rsidRDefault="00AA6B2F" w:rsidP="00AA6B2F">
      <w:pPr>
        <w:rPr>
          <w:rFonts w:ascii="Arial" w:hAnsi="Arial" w:cs="Arial"/>
          <w:sz w:val="22"/>
          <w:szCs w:val="22"/>
        </w:rPr>
      </w:pPr>
    </w:p>
    <w:p w14:paraId="6A0CA233" w14:textId="77777777" w:rsidR="00AA6B2F" w:rsidRDefault="00AA6B2F" w:rsidP="00AA6B2F">
      <w:pPr>
        <w:numPr>
          <w:ilvl w:val="0"/>
          <w:numId w:val="21"/>
        </w:numPr>
        <w:rPr>
          <w:rFonts w:ascii="Arial" w:hAnsi="Arial" w:cs="Arial"/>
          <w:sz w:val="22"/>
          <w:szCs w:val="22"/>
        </w:rPr>
      </w:pPr>
      <w:r>
        <w:rPr>
          <w:rFonts w:ascii="Arial" w:hAnsi="Arial" w:cs="Arial"/>
          <w:sz w:val="22"/>
          <w:szCs w:val="22"/>
        </w:rPr>
        <w:t>Include all material risks for each option. This ‘test of materiality’ includes whether:</w:t>
      </w:r>
    </w:p>
    <w:p w14:paraId="01B7700C" w14:textId="77777777" w:rsidR="00AA6B2F" w:rsidRDefault="00AA6B2F" w:rsidP="00AA6B2F">
      <w:pPr>
        <w:rPr>
          <w:rFonts w:ascii="Arial" w:hAnsi="Arial" w:cs="Arial"/>
          <w:sz w:val="22"/>
          <w:szCs w:val="22"/>
        </w:rPr>
      </w:pPr>
    </w:p>
    <w:p w14:paraId="755236F3" w14:textId="77777777" w:rsidR="00AA6B2F" w:rsidRDefault="00AA6B2F" w:rsidP="00AA6B2F">
      <w:pPr>
        <w:numPr>
          <w:ilvl w:val="1"/>
          <w:numId w:val="21"/>
        </w:numPr>
        <w:rPr>
          <w:rFonts w:ascii="Arial" w:hAnsi="Arial" w:cs="Arial"/>
          <w:sz w:val="22"/>
          <w:szCs w:val="22"/>
        </w:rPr>
      </w:pPr>
      <w:r>
        <w:rPr>
          <w:rFonts w:ascii="Arial" w:hAnsi="Arial" w:cs="Arial"/>
          <w:sz w:val="22"/>
          <w:szCs w:val="22"/>
        </w:rPr>
        <w:t xml:space="preserve">In this </w:t>
      </w:r>
      <w:proofErr w:type="gramStart"/>
      <w:r>
        <w:rPr>
          <w:rFonts w:ascii="Arial" w:hAnsi="Arial" w:cs="Arial"/>
          <w:sz w:val="22"/>
          <w:szCs w:val="22"/>
        </w:rPr>
        <w:t>particular case</w:t>
      </w:r>
      <w:proofErr w:type="gramEnd"/>
      <w:r>
        <w:rPr>
          <w:rFonts w:ascii="Arial" w:hAnsi="Arial" w:cs="Arial"/>
          <w:sz w:val="22"/>
          <w:szCs w:val="22"/>
        </w:rPr>
        <w:t>, a reasonable person in the patient’s position would be likely to attach significance to the risk, or</w:t>
      </w:r>
    </w:p>
    <w:p w14:paraId="6E130A21" w14:textId="77777777" w:rsidR="00AA6B2F" w:rsidRDefault="00AA6B2F" w:rsidP="00AA6B2F">
      <w:pPr>
        <w:ind w:left="1440"/>
        <w:rPr>
          <w:rFonts w:ascii="Arial" w:hAnsi="Arial" w:cs="Arial"/>
          <w:sz w:val="22"/>
          <w:szCs w:val="22"/>
        </w:rPr>
      </w:pPr>
    </w:p>
    <w:p w14:paraId="6B787C83" w14:textId="77777777" w:rsidR="00AA6B2F" w:rsidRDefault="00AA6B2F" w:rsidP="00AA6B2F">
      <w:pPr>
        <w:numPr>
          <w:ilvl w:val="1"/>
          <w:numId w:val="21"/>
        </w:numPr>
        <w:rPr>
          <w:rFonts w:ascii="Arial" w:hAnsi="Arial" w:cs="Arial"/>
          <w:sz w:val="22"/>
          <w:szCs w:val="22"/>
        </w:rPr>
      </w:pPr>
      <w:r>
        <w:rPr>
          <w:rFonts w:ascii="Arial" w:hAnsi="Arial" w:cs="Arial"/>
          <w:sz w:val="22"/>
          <w:szCs w:val="22"/>
        </w:rPr>
        <w:t xml:space="preserve">The doctor is or should reasonably be aware that the </w:t>
      </w:r>
      <w:proofErr w:type="gramStart"/>
      <w:r>
        <w:rPr>
          <w:rFonts w:ascii="Arial" w:hAnsi="Arial" w:cs="Arial"/>
          <w:sz w:val="22"/>
          <w:szCs w:val="22"/>
        </w:rPr>
        <w:t>particular patient</w:t>
      </w:r>
      <w:proofErr w:type="gramEnd"/>
      <w:r>
        <w:rPr>
          <w:rFonts w:ascii="Arial" w:hAnsi="Arial" w:cs="Arial"/>
          <w:sz w:val="22"/>
          <w:szCs w:val="22"/>
        </w:rPr>
        <w:t xml:space="preserve"> would likely attach significance to it</w:t>
      </w:r>
    </w:p>
    <w:p w14:paraId="084D966B" w14:textId="77777777" w:rsidR="00AA6B2F" w:rsidRDefault="00AA6B2F" w:rsidP="00AA6B2F">
      <w:pPr>
        <w:pStyle w:val="NormalWeb"/>
        <w:shd w:val="clear" w:color="auto" w:fill="FFFFFF"/>
        <w:spacing w:before="320" w:beforeAutospacing="0" w:after="320" w:afterAutospacing="0"/>
        <w:rPr>
          <w:rFonts w:ascii="Arial" w:eastAsia="Times New Roman" w:hAnsi="Arial" w:cs="Arial"/>
          <w:sz w:val="22"/>
          <w:szCs w:val="22"/>
        </w:rPr>
      </w:pPr>
      <w:r>
        <w:rPr>
          <w:rFonts w:ascii="Arial" w:hAnsi="Arial" w:cs="Arial"/>
          <w:sz w:val="22"/>
          <w:szCs w:val="22"/>
        </w:rPr>
        <w:t xml:space="preserve">Furthermore, the General Medical Council provides </w:t>
      </w:r>
      <w:hyperlink r:id="rId58" w:history="1">
        <w:r>
          <w:rPr>
            <w:rStyle w:val="Hyperlink"/>
            <w:rFonts w:ascii="Arial" w:hAnsi="Arial" w:cs="Arial"/>
          </w:rPr>
          <w:t>guidance</w:t>
        </w:r>
      </w:hyperlink>
      <w:r>
        <w:rPr>
          <w:rFonts w:ascii="Arial" w:hAnsi="Arial" w:cs="Arial"/>
          <w:sz w:val="22"/>
          <w:szCs w:val="22"/>
        </w:rPr>
        <w:t xml:space="preserve"> on consent and its guidance details information on how to:  </w:t>
      </w:r>
    </w:p>
    <w:p w14:paraId="23903ED8" w14:textId="77777777" w:rsidR="00AA6B2F" w:rsidRDefault="00AA6B2F" w:rsidP="00AA6B2F">
      <w:pPr>
        <w:numPr>
          <w:ilvl w:val="0"/>
          <w:numId w:val="22"/>
        </w:numPr>
        <w:rPr>
          <w:rFonts w:ascii="Arial" w:eastAsia="Times New Roman" w:hAnsi="Arial" w:cs="Arial"/>
          <w:sz w:val="22"/>
          <w:szCs w:val="22"/>
          <w:lang w:eastAsia="en-GB"/>
        </w:rPr>
      </w:pPr>
      <w:r>
        <w:rPr>
          <w:rFonts w:ascii="Arial" w:eastAsia="Times New Roman" w:hAnsi="Arial" w:cs="Arial"/>
          <w:sz w:val="22"/>
          <w:szCs w:val="22"/>
          <w:lang w:eastAsia="en-GB"/>
        </w:rPr>
        <w:t>Assess capacity</w:t>
      </w:r>
    </w:p>
    <w:p w14:paraId="6FC7B23E" w14:textId="77777777" w:rsidR="00AA6B2F" w:rsidRDefault="00AA6B2F" w:rsidP="00AA6B2F">
      <w:pPr>
        <w:numPr>
          <w:ilvl w:val="0"/>
          <w:numId w:val="22"/>
        </w:numPr>
        <w:rPr>
          <w:rFonts w:ascii="Arial" w:eastAsia="Times New Roman" w:hAnsi="Arial" w:cs="Arial"/>
          <w:sz w:val="22"/>
          <w:szCs w:val="22"/>
          <w:lang w:eastAsia="en-GB"/>
        </w:rPr>
      </w:pPr>
      <w:r>
        <w:rPr>
          <w:rFonts w:ascii="Arial" w:eastAsia="Times New Roman" w:hAnsi="Arial" w:cs="Arial"/>
          <w:sz w:val="22"/>
          <w:szCs w:val="22"/>
          <w:lang w:eastAsia="en-GB"/>
        </w:rPr>
        <w:t xml:space="preserve">Record decisions </w:t>
      </w:r>
    </w:p>
    <w:p w14:paraId="5B0DE331" w14:textId="77777777" w:rsidR="00AA6B2F" w:rsidRDefault="00AA6B2F" w:rsidP="00AA6B2F">
      <w:pPr>
        <w:numPr>
          <w:ilvl w:val="0"/>
          <w:numId w:val="22"/>
        </w:numPr>
        <w:rPr>
          <w:rFonts w:ascii="Arial" w:eastAsia="Times New Roman" w:hAnsi="Arial" w:cs="Arial"/>
          <w:sz w:val="22"/>
          <w:szCs w:val="22"/>
          <w:lang w:eastAsia="en-GB"/>
        </w:rPr>
      </w:pPr>
      <w:r>
        <w:rPr>
          <w:rFonts w:ascii="Arial" w:eastAsia="Times New Roman" w:hAnsi="Arial" w:cs="Arial"/>
          <w:sz w:val="22"/>
          <w:szCs w:val="22"/>
          <w:lang w:eastAsia="en-GB"/>
        </w:rPr>
        <w:t>Share information</w:t>
      </w:r>
    </w:p>
    <w:p w14:paraId="3ED1B394" w14:textId="77777777" w:rsidR="00AA6B2F" w:rsidRDefault="00AA6B2F" w:rsidP="00AA6B2F">
      <w:pPr>
        <w:rPr>
          <w:rFonts w:ascii="Arial" w:eastAsia="Times New Roman" w:hAnsi="Arial" w:cs="Arial"/>
          <w:sz w:val="22"/>
          <w:szCs w:val="22"/>
          <w:lang w:eastAsia="en-GB"/>
        </w:rPr>
      </w:pPr>
      <w:r>
        <w:rPr>
          <w:rFonts w:ascii="Arial" w:eastAsia="Times New Roman" w:hAnsi="Arial" w:cs="Arial"/>
          <w:sz w:val="22"/>
          <w:szCs w:val="22"/>
          <w:lang w:eastAsia="en-GB"/>
        </w:rPr>
        <w:t>The GMC guidance also reiterates the importance of providing information the patient can understand and that before beginning any treatment, the doctor or a member of the healthcare team should confirm that the patient still wants to proceed.</w:t>
      </w:r>
    </w:p>
    <w:p w14:paraId="0DE31A5F"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5C776DAD"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*Note, for ‘doctors’ read ‘any clinician’.</w:t>
      </w:r>
    </w:p>
    <w:p w14:paraId="6CB76468" w14:textId="77777777" w:rsidR="00AA6B2F" w:rsidRDefault="00AA6B2F" w:rsidP="00AA6B2F">
      <w:pPr>
        <w:pStyle w:val="Heading2"/>
        <w:spacing w:line="256" w:lineRule="auto"/>
        <w:rPr>
          <w:rFonts w:ascii="Arial" w:hAnsi="Arial" w:cs="Arial"/>
          <w:sz w:val="24"/>
          <w:szCs w:val="24"/>
          <w:lang w:val="en-GB"/>
        </w:rPr>
      </w:pPr>
      <w:bookmarkStart w:id="35" w:name="_Toc43391058"/>
      <w:bookmarkStart w:id="36" w:name="_Toc43391312"/>
      <w:bookmarkStart w:id="37" w:name="_Toc91750347"/>
      <w:bookmarkEnd w:id="35"/>
      <w:bookmarkEnd w:id="36"/>
      <w:r>
        <w:rPr>
          <w:rFonts w:ascii="Arial" w:hAnsi="Arial" w:cs="Arial"/>
          <w:sz w:val="24"/>
          <w:szCs w:val="24"/>
          <w:lang w:val="en-GB"/>
        </w:rPr>
        <w:t>Giving consent</w:t>
      </w:r>
      <w:bookmarkEnd w:id="37"/>
    </w:p>
    <w:p w14:paraId="5293CC76" w14:textId="77777777" w:rsidR="00AA6B2F" w:rsidRDefault="00AA6B2F" w:rsidP="00AA6B2F">
      <w:pPr>
        <w:pStyle w:val="NormalWeb"/>
        <w:shd w:val="clear" w:color="auto" w:fill="FFFFFF"/>
        <w:spacing w:before="0" w:beforeAutospacing="0" w:after="0" w:afterAutospacing="0" w:line="336" w:lineRule="atLeast"/>
        <w:rPr>
          <w:rFonts w:ascii="Arial" w:hAnsi="Arial" w:cs="Arial"/>
          <w:color w:val="000000" w:themeColor="text1"/>
          <w:sz w:val="22"/>
          <w:szCs w:val="22"/>
        </w:rPr>
      </w:pPr>
    </w:p>
    <w:p w14:paraId="0B17AD40"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Consent can be given by a patient in two ways:</w:t>
      </w:r>
    </w:p>
    <w:p w14:paraId="265E36AF"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0764A787" w14:textId="77777777" w:rsidR="00AA6B2F" w:rsidRDefault="00AA6B2F" w:rsidP="00AA6B2F">
      <w:pPr>
        <w:pStyle w:val="NormalWeb"/>
        <w:numPr>
          <w:ilvl w:val="0"/>
          <w:numId w:val="23"/>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Verbally – consenting to an examination or procedure such as an injection by word of mouth</w:t>
      </w:r>
    </w:p>
    <w:p w14:paraId="3B7B9240"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0EA68189" w14:textId="77777777" w:rsidR="00AA6B2F" w:rsidRDefault="00AA6B2F" w:rsidP="00AA6B2F">
      <w:pPr>
        <w:pStyle w:val="NormalWeb"/>
        <w:numPr>
          <w:ilvl w:val="0"/>
          <w:numId w:val="24"/>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Written – signing a consent form for minor surgery or other procedures</w:t>
      </w:r>
    </w:p>
    <w:p w14:paraId="24C427E8" w14:textId="77777777" w:rsidR="00AA6B2F" w:rsidRDefault="00AA6B2F" w:rsidP="00AA6B2F">
      <w:pPr>
        <w:pStyle w:val="Heading2"/>
        <w:spacing w:line="256" w:lineRule="auto"/>
        <w:rPr>
          <w:rFonts w:ascii="Arial" w:hAnsi="Arial" w:cs="Arial"/>
        </w:rPr>
      </w:pPr>
      <w:bookmarkStart w:id="38" w:name="_Toc91750348"/>
      <w:r>
        <w:rPr>
          <w:rFonts w:ascii="Arial" w:hAnsi="Arial" w:cs="Arial"/>
          <w:sz w:val="24"/>
          <w:szCs w:val="24"/>
          <w:lang w:val="en-GB"/>
        </w:rPr>
        <w:lastRenderedPageBreak/>
        <w:t>Is a consent form enough?</w:t>
      </w:r>
      <w:bookmarkEnd w:id="38"/>
    </w:p>
    <w:p w14:paraId="143BBF88" w14:textId="77777777" w:rsidR="00AA6B2F" w:rsidRDefault="00AA6B2F" w:rsidP="00AA6B2F">
      <w:pPr>
        <w:pStyle w:val="NormalWeb"/>
        <w:shd w:val="clear" w:color="auto" w:fill="FFFFFF"/>
        <w:spacing w:before="0" w:beforeAutospacing="0" w:after="0" w:afterAutospacing="0"/>
        <w:rPr>
          <w:rFonts w:ascii="Arial" w:hAnsi="Arial" w:cs="Arial"/>
          <w:color w:val="2C2C2C"/>
          <w:sz w:val="22"/>
          <w:szCs w:val="22"/>
          <w:shd w:val="clear" w:color="auto" w:fill="FFFFFF"/>
        </w:rPr>
      </w:pPr>
    </w:p>
    <w:p w14:paraId="532F8C7D" w14:textId="77777777" w:rsidR="00AA6B2F" w:rsidRDefault="00AA6B2F" w:rsidP="00AA6B2F">
      <w:pPr>
        <w:pStyle w:val="NormalWeb"/>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As detailed at section 4.1, sufficient information must be given for the patient to make their choice. Simply having a signed consent form only provides evidence that consent was obtained at that time, it does not constitute proof that the consent was valid and may simply be used as a checklist.</w:t>
      </w:r>
    </w:p>
    <w:p w14:paraId="622D6735" w14:textId="77777777" w:rsidR="00AA6B2F" w:rsidRDefault="00AA6B2F" w:rsidP="00AA6B2F">
      <w:pPr>
        <w:pStyle w:val="NormalWeb"/>
        <w:shd w:val="clear" w:color="auto" w:fill="FFFFFF"/>
        <w:spacing w:before="0" w:beforeAutospacing="0" w:after="0" w:afterAutospacing="0"/>
        <w:rPr>
          <w:rFonts w:ascii="Arial" w:hAnsi="Arial" w:cs="Arial"/>
          <w:color w:val="2C2C2C"/>
          <w:sz w:val="22"/>
          <w:szCs w:val="22"/>
          <w:shd w:val="clear" w:color="auto" w:fill="FFFFFF"/>
        </w:rPr>
      </w:pPr>
    </w:p>
    <w:p w14:paraId="02DD4741" w14:textId="77777777" w:rsidR="00AA6B2F" w:rsidRDefault="00AA6B2F" w:rsidP="00AA6B2F">
      <w:pPr>
        <w:pStyle w:val="NormalWeb"/>
        <w:shd w:val="clear" w:color="auto" w:fill="FFFFFF"/>
        <w:spacing w:before="0" w:beforeAutospacing="0" w:after="0" w:afterAutospacing="0"/>
        <w:rPr>
          <w:rFonts w:ascii="Arial" w:hAnsi="Arial" w:cs="Arial"/>
          <w:color w:val="2C2C2C"/>
          <w:sz w:val="22"/>
          <w:szCs w:val="22"/>
          <w:shd w:val="clear" w:color="auto" w:fill="FFFFFF"/>
        </w:rPr>
      </w:pPr>
      <w:r>
        <w:rPr>
          <w:rFonts w:ascii="Arial" w:hAnsi="Arial" w:cs="Arial"/>
          <w:sz w:val="22"/>
          <w:szCs w:val="22"/>
        </w:rPr>
        <w:t xml:space="preserve">This is additionally confirmed at the </w:t>
      </w:r>
      <w:hyperlink r:id="rId59" w:history="1">
        <w:r>
          <w:rPr>
            <w:rStyle w:val="Hyperlink"/>
            <w:rFonts w:ascii="Arial" w:hAnsi="Arial" w:cs="Arial"/>
          </w:rPr>
          <w:t xml:space="preserve">CQC GP </w:t>
        </w:r>
        <w:proofErr w:type="spellStart"/>
        <w:r>
          <w:rPr>
            <w:rStyle w:val="Hyperlink"/>
            <w:rFonts w:ascii="Arial" w:hAnsi="Arial" w:cs="Arial"/>
          </w:rPr>
          <w:t>Mythbuster</w:t>
        </w:r>
        <w:proofErr w:type="spellEnd"/>
        <w:r>
          <w:rPr>
            <w:rStyle w:val="Hyperlink"/>
            <w:rFonts w:ascii="Arial" w:hAnsi="Arial" w:cs="Arial"/>
          </w:rPr>
          <w:t xml:space="preserve"> No 49</w:t>
        </w:r>
      </w:hyperlink>
      <w:r>
        <w:t xml:space="preserve"> </w:t>
      </w:r>
      <w:r>
        <w:rPr>
          <w:rFonts w:ascii="Arial" w:hAnsi="Arial" w:cs="Arial"/>
          <w:sz w:val="22"/>
          <w:szCs w:val="22"/>
        </w:rPr>
        <w:t xml:space="preserve">and therefore </w:t>
      </w:r>
      <w:r>
        <w:rPr>
          <w:rFonts w:ascii="Arial" w:hAnsi="Arial" w:cs="Arial"/>
          <w:sz w:val="22"/>
          <w:szCs w:val="22"/>
          <w:shd w:val="clear" w:color="auto" w:fill="FFFFFF"/>
        </w:rPr>
        <w:t xml:space="preserve">the form </w:t>
      </w:r>
      <w:r>
        <w:rPr>
          <w:rFonts w:ascii="Arial" w:hAnsi="Arial" w:cs="Arial"/>
          <w:color w:val="2C2C2C"/>
          <w:sz w:val="22"/>
          <w:szCs w:val="22"/>
          <w:shd w:val="clear" w:color="auto" w:fill="FFFFFF"/>
        </w:rPr>
        <w:t xml:space="preserve">at </w:t>
      </w:r>
      <w:hyperlink r:id="rId60" w:anchor="_Annex_A_–" w:history="1">
        <w:r>
          <w:rPr>
            <w:rStyle w:val="Hyperlink"/>
            <w:rFonts w:ascii="Arial" w:hAnsi="Arial" w:cs="Arial"/>
          </w:rPr>
          <w:t>Annex A</w:t>
        </w:r>
      </w:hyperlink>
      <w:r>
        <w:rPr>
          <w:rFonts w:ascii="Arial" w:hAnsi="Arial" w:cs="Arial"/>
          <w:color w:val="2C2C2C"/>
          <w:sz w:val="22"/>
          <w:szCs w:val="22"/>
          <w:shd w:val="clear" w:color="auto" w:fill="FFFFFF"/>
        </w:rPr>
        <w:t xml:space="preserve"> </w:t>
      </w:r>
      <w:r>
        <w:rPr>
          <w:rFonts w:ascii="Arial" w:hAnsi="Arial" w:cs="Arial"/>
          <w:sz w:val="22"/>
          <w:szCs w:val="22"/>
          <w:shd w:val="clear" w:color="auto" w:fill="FFFFFF"/>
        </w:rPr>
        <w:t>has been created to state that the patient has been fully briefed about the procedure and states the following:</w:t>
      </w:r>
    </w:p>
    <w:p w14:paraId="7E034AC6" w14:textId="77777777" w:rsidR="00AA6B2F" w:rsidRDefault="00AA6B2F" w:rsidP="00AA6B2F">
      <w:pPr>
        <w:pStyle w:val="NormalWeb"/>
        <w:shd w:val="clear" w:color="auto" w:fill="FFFFFF"/>
        <w:spacing w:before="0" w:beforeAutospacing="0" w:after="0" w:afterAutospacing="0"/>
        <w:rPr>
          <w:rFonts w:ascii="Arial" w:hAnsi="Arial" w:cs="Arial"/>
          <w:color w:val="2C2C2C"/>
          <w:sz w:val="22"/>
          <w:szCs w:val="22"/>
          <w:shd w:val="clear" w:color="auto" w:fill="FFFFFF"/>
        </w:rPr>
      </w:pPr>
    </w:p>
    <w:p w14:paraId="5F5876AE" w14:textId="77777777" w:rsidR="00AA6B2F" w:rsidRDefault="00AA6B2F" w:rsidP="00AA6B2F">
      <w:pPr>
        <w:pStyle w:val="NormalWeb"/>
        <w:shd w:val="clear" w:color="auto" w:fill="FFFFFF"/>
        <w:spacing w:before="0" w:beforeAutospacing="0" w:after="0" w:afterAutospacing="0"/>
        <w:ind w:left="426"/>
        <w:rPr>
          <w:rFonts w:ascii="Arial" w:hAnsi="Arial" w:cs="Arial"/>
          <w:i/>
          <w:iCs/>
          <w:sz w:val="22"/>
          <w:szCs w:val="22"/>
        </w:rPr>
      </w:pPr>
      <w:r>
        <w:rPr>
          <w:rFonts w:ascii="Arial" w:hAnsi="Arial" w:cs="Arial"/>
          <w:i/>
          <w:iCs/>
          <w:sz w:val="22"/>
          <w:szCs w:val="22"/>
        </w:rPr>
        <w:t xml:space="preserve">“I understand the need for and consent to the procedure detailed above. I confirm that I have been given all the required information about the procedure, including techniques, aftercare, benefits, </w:t>
      </w:r>
      <w:proofErr w:type="gramStart"/>
      <w:r>
        <w:rPr>
          <w:rFonts w:ascii="Arial" w:hAnsi="Arial" w:cs="Arial"/>
          <w:i/>
          <w:iCs/>
          <w:sz w:val="22"/>
          <w:szCs w:val="22"/>
        </w:rPr>
        <w:t>risks</w:t>
      </w:r>
      <w:proofErr w:type="gramEnd"/>
      <w:r>
        <w:rPr>
          <w:rFonts w:ascii="Arial" w:hAnsi="Arial" w:cs="Arial"/>
          <w:i/>
          <w:iCs/>
          <w:sz w:val="22"/>
          <w:szCs w:val="22"/>
        </w:rPr>
        <w:t xml:space="preserve"> and the required follow-up process. </w:t>
      </w:r>
    </w:p>
    <w:p w14:paraId="5FCDDF94" w14:textId="77777777" w:rsidR="00AA6B2F" w:rsidRDefault="00AA6B2F" w:rsidP="00AA6B2F">
      <w:pPr>
        <w:pStyle w:val="NormalWeb"/>
        <w:shd w:val="clear" w:color="auto" w:fill="FFFFFF"/>
        <w:spacing w:before="0" w:beforeAutospacing="0" w:after="0" w:afterAutospacing="0"/>
        <w:ind w:left="426"/>
        <w:rPr>
          <w:rFonts w:ascii="Arial" w:hAnsi="Arial" w:cs="Arial"/>
          <w:i/>
          <w:iCs/>
          <w:sz w:val="22"/>
          <w:szCs w:val="22"/>
        </w:rPr>
      </w:pPr>
    </w:p>
    <w:p w14:paraId="78071FF5" w14:textId="77777777" w:rsidR="00AA6B2F" w:rsidRDefault="00AA6B2F" w:rsidP="00AA6B2F">
      <w:pPr>
        <w:pStyle w:val="NormalWeb"/>
        <w:shd w:val="clear" w:color="auto" w:fill="FFFFFF"/>
        <w:spacing w:before="0" w:beforeAutospacing="0" w:after="0" w:afterAutospacing="0"/>
        <w:ind w:left="426"/>
        <w:rPr>
          <w:rFonts w:ascii="Arial" w:hAnsi="Arial" w:cs="Arial"/>
          <w:i/>
          <w:iCs/>
          <w:sz w:val="22"/>
          <w:szCs w:val="22"/>
        </w:rPr>
      </w:pPr>
      <w:r>
        <w:rPr>
          <w:rFonts w:ascii="Arial" w:hAnsi="Arial" w:cs="Arial"/>
          <w:i/>
          <w:iCs/>
          <w:sz w:val="22"/>
          <w:szCs w:val="22"/>
        </w:rPr>
        <w:t>I also have been advised of my rights as a patient”.</w:t>
      </w:r>
    </w:p>
    <w:p w14:paraId="4461E91F" w14:textId="77777777" w:rsidR="00AA6B2F" w:rsidRDefault="00AA6B2F" w:rsidP="00AA6B2F">
      <w:pPr>
        <w:pStyle w:val="NormalWeb"/>
        <w:shd w:val="clear" w:color="auto" w:fill="FFFFFF"/>
        <w:spacing w:before="0" w:beforeAutospacing="0" w:after="0" w:afterAutospacing="0"/>
        <w:ind w:left="426"/>
        <w:rPr>
          <w:rFonts w:ascii="Arial" w:hAnsi="Arial" w:cs="Arial"/>
          <w:i/>
          <w:iCs/>
          <w:sz w:val="20"/>
          <w:szCs w:val="20"/>
          <w:shd w:val="clear" w:color="auto" w:fill="FFFFFF"/>
        </w:rPr>
      </w:pPr>
    </w:p>
    <w:p w14:paraId="7B39327C" w14:textId="77777777" w:rsidR="00AA6B2F" w:rsidRDefault="00AA6B2F" w:rsidP="00AA6B2F">
      <w:pPr>
        <w:pStyle w:val="NormalWeb"/>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 xml:space="preserve">Any consent form should be used in conjunction with the clinician completing a full clinical record. </w:t>
      </w:r>
    </w:p>
    <w:p w14:paraId="5C52B249" w14:textId="77777777" w:rsidR="00AA6B2F" w:rsidRDefault="00AA6B2F" w:rsidP="00AA6B2F">
      <w:pPr>
        <w:pStyle w:val="Heading2"/>
        <w:spacing w:line="256" w:lineRule="auto"/>
        <w:rPr>
          <w:rFonts w:ascii="Arial" w:hAnsi="Arial" w:cs="Arial"/>
          <w:sz w:val="24"/>
          <w:szCs w:val="24"/>
          <w:lang w:val="en-GB"/>
        </w:rPr>
      </w:pPr>
      <w:bookmarkStart w:id="39" w:name="_Toc91750349"/>
      <w:r>
        <w:rPr>
          <w:rFonts w:ascii="Arial" w:hAnsi="Arial" w:cs="Arial"/>
          <w:sz w:val="24"/>
          <w:szCs w:val="24"/>
          <w:lang w:val="en-GB"/>
        </w:rPr>
        <w:t>Recording consent in a patient’s clinical record</w:t>
      </w:r>
      <w:bookmarkEnd w:id="39"/>
    </w:p>
    <w:p w14:paraId="6B8E8271" w14:textId="77777777" w:rsidR="00AA6B2F" w:rsidRDefault="00AA6B2F" w:rsidP="00AA6B2F">
      <w:pPr>
        <w:pStyle w:val="NormalWeb"/>
        <w:shd w:val="clear" w:color="auto" w:fill="FFFFFF"/>
        <w:spacing w:before="0" w:beforeAutospacing="0" w:after="0" w:afterAutospacing="0"/>
        <w:rPr>
          <w:rFonts w:ascii="Arial" w:hAnsi="Arial" w:cs="Arial"/>
          <w:sz w:val="22"/>
          <w:szCs w:val="22"/>
        </w:rPr>
      </w:pPr>
    </w:p>
    <w:p w14:paraId="552F26C8" w14:textId="77777777" w:rsidR="00AA6B2F" w:rsidRDefault="00AA6B2F" w:rsidP="00AA6B2F">
      <w:pPr>
        <w:pStyle w:val="NormalWeb"/>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rPr>
        <w:t xml:space="preserve">It is imperative that the clinician records the key elements of their discussion with the patient </w:t>
      </w:r>
      <w:proofErr w:type="gramStart"/>
      <w:r>
        <w:rPr>
          <w:rFonts w:ascii="Arial" w:hAnsi="Arial" w:cs="Arial"/>
          <w:sz w:val="22"/>
          <w:szCs w:val="22"/>
        </w:rPr>
        <w:t>with regard to</w:t>
      </w:r>
      <w:proofErr w:type="gramEnd"/>
      <w:r>
        <w:rPr>
          <w:rFonts w:ascii="Arial" w:hAnsi="Arial" w:cs="Arial"/>
          <w:sz w:val="22"/>
          <w:szCs w:val="22"/>
        </w:rPr>
        <w:t xml:space="preserve"> consent. S</w:t>
      </w:r>
      <w:r>
        <w:rPr>
          <w:rFonts w:ascii="Arial" w:hAnsi="Arial" w:cs="Arial"/>
          <w:sz w:val="22"/>
          <w:szCs w:val="22"/>
          <w:shd w:val="clear" w:color="auto" w:fill="FFFFFF"/>
        </w:rPr>
        <w:t xml:space="preserve">hould there ever be any dispute as to whether valid consent was obtained, the key issue will not be whether the patient did or did not sign a form but whether they were given all the information needed to make a considered decision. </w:t>
      </w:r>
    </w:p>
    <w:p w14:paraId="0CEF98B5" w14:textId="77777777" w:rsidR="00AA6B2F" w:rsidRDefault="00AA6B2F" w:rsidP="00AA6B2F">
      <w:pPr>
        <w:pStyle w:val="NormalWeb"/>
        <w:shd w:val="clear" w:color="auto" w:fill="FFFFFF"/>
        <w:spacing w:before="0" w:beforeAutospacing="0" w:after="0" w:afterAutospacing="0"/>
        <w:rPr>
          <w:rFonts w:ascii="Arial" w:hAnsi="Arial" w:cs="Arial"/>
          <w:sz w:val="22"/>
          <w:szCs w:val="22"/>
          <w:shd w:val="clear" w:color="auto" w:fill="FFFFFF"/>
        </w:rPr>
      </w:pPr>
    </w:p>
    <w:p w14:paraId="5EC20742" w14:textId="77777777" w:rsidR="00AA6B2F" w:rsidRDefault="00AA6B2F" w:rsidP="00AA6B2F">
      <w:pPr>
        <w:pStyle w:val="NormalWeb"/>
        <w:shd w:val="clear" w:color="auto" w:fill="FFFFFF"/>
        <w:spacing w:before="0" w:beforeAutospacing="0" w:after="0" w:afterAutospacing="0"/>
        <w:rPr>
          <w:rFonts w:ascii="Arial" w:hAnsi="Arial" w:cs="Arial"/>
          <w:sz w:val="22"/>
          <w:szCs w:val="22"/>
          <w:shd w:val="clear" w:color="auto" w:fill="FFFFFF"/>
        </w:rPr>
      </w:pPr>
      <w:r>
        <w:rPr>
          <w:rFonts w:ascii="Arial" w:hAnsi="Arial" w:cs="Arial"/>
          <w:sz w:val="22"/>
          <w:szCs w:val="22"/>
          <w:shd w:val="clear" w:color="auto" w:fill="FFFFFF"/>
        </w:rPr>
        <w:t xml:space="preserve">From a legal perspective, it is essential that a full record of any discussion </w:t>
      </w:r>
      <w:proofErr w:type="gramStart"/>
      <w:r>
        <w:rPr>
          <w:rFonts w:ascii="Arial" w:hAnsi="Arial" w:cs="Arial"/>
          <w:sz w:val="22"/>
          <w:szCs w:val="22"/>
          <w:shd w:val="clear" w:color="auto" w:fill="FFFFFF"/>
        </w:rPr>
        <w:t>with regard to</w:t>
      </w:r>
      <w:proofErr w:type="gramEnd"/>
      <w:r>
        <w:rPr>
          <w:rFonts w:ascii="Arial" w:hAnsi="Arial" w:cs="Arial"/>
          <w:sz w:val="22"/>
          <w:szCs w:val="22"/>
          <w:shd w:val="clear" w:color="auto" w:fill="FFFFFF"/>
        </w:rPr>
        <w:t xml:space="preserve"> the likely outcome of any treatment or procedure is detailed. The presence of this within the medical record will ensure that evidence of how the patient reached their considered decision was made.</w:t>
      </w:r>
    </w:p>
    <w:p w14:paraId="549D4EF5" w14:textId="77777777" w:rsidR="00AA6B2F" w:rsidRDefault="00AA6B2F" w:rsidP="00AA6B2F">
      <w:pPr>
        <w:rPr>
          <w:rFonts w:ascii="Arial" w:hAnsi="Arial" w:cs="Arial"/>
          <w:sz w:val="22"/>
          <w:szCs w:val="22"/>
        </w:rPr>
      </w:pPr>
    </w:p>
    <w:p w14:paraId="31EB00FE" w14:textId="77777777" w:rsidR="00AA6B2F" w:rsidRDefault="00AA6B2F" w:rsidP="00AA6B2F">
      <w:pPr>
        <w:rPr>
          <w:rFonts w:ascii="Arial" w:hAnsi="Arial" w:cs="Arial"/>
          <w:sz w:val="22"/>
          <w:szCs w:val="22"/>
        </w:rPr>
      </w:pPr>
      <w:r>
        <w:rPr>
          <w:rFonts w:ascii="Arial" w:hAnsi="Arial" w:cs="Arial"/>
          <w:sz w:val="22"/>
          <w:szCs w:val="22"/>
        </w:rPr>
        <w:t xml:space="preserve">Should the form at </w:t>
      </w:r>
      <w:hyperlink r:id="rId61" w:anchor="_Annex_A_–" w:history="1">
        <w:r>
          <w:rPr>
            <w:rStyle w:val="Hyperlink"/>
            <w:rFonts w:ascii="Arial" w:hAnsi="Arial" w:cs="Arial"/>
          </w:rPr>
          <w:t>Annex A</w:t>
        </w:r>
      </w:hyperlink>
      <w:r>
        <w:rPr>
          <w:rFonts w:ascii="Arial" w:hAnsi="Arial" w:cs="Arial"/>
          <w:sz w:val="22"/>
          <w:szCs w:val="22"/>
        </w:rPr>
        <w:t xml:space="preserve"> not be used, then the patient record should be comprehensive and include the following:</w:t>
      </w:r>
    </w:p>
    <w:p w14:paraId="1F91F102" w14:textId="77777777" w:rsidR="00AA6B2F" w:rsidRDefault="00AA6B2F" w:rsidP="00AA6B2F">
      <w:pPr>
        <w:pStyle w:val="ListParagraph"/>
        <w:numPr>
          <w:ilvl w:val="0"/>
          <w:numId w:val="25"/>
        </w:numPr>
        <w:rPr>
          <w:rFonts w:ascii="Arial" w:hAnsi="Arial" w:cs="Arial"/>
          <w:sz w:val="22"/>
          <w:szCs w:val="22"/>
        </w:rPr>
      </w:pPr>
      <w:proofErr w:type="gramStart"/>
      <w:r>
        <w:rPr>
          <w:rFonts w:ascii="Arial" w:hAnsi="Arial" w:cs="Arial"/>
          <w:sz w:val="22"/>
          <w:szCs w:val="22"/>
        </w:rPr>
        <w:t>Brief summary</w:t>
      </w:r>
      <w:proofErr w:type="gramEnd"/>
      <w:r>
        <w:rPr>
          <w:rFonts w:ascii="Arial" w:hAnsi="Arial" w:cs="Arial"/>
          <w:sz w:val="22"/>
          <w:szCs w:val="22"/>
        </w:rPr>
        <w:t xml:space="preserve"> of the discussion with the patient</w:t>
      </w:r>
    </w:p>
    <w:p w14:paraId="3CD7A04F" w14:textId="77777777" w:rsidR="00AA6B2F" w:rsidRDefault="00AA6B2F" w:rsidP="00AA6B2F">
      <w:pPr>
        <w:pStyle w:val="ListParagraph"/>
        <w:numPr>
          <w:ilvl w:val="0"/>
          <w:numId w:val="25"/>
        </w:numPr>
        <w:rPr>
          <w:rFonts w:ascii="Arial" w:hAnsi="Arial" w:cs="Arial"/>
          <w:sz w:val="22"/>
          <w:szCs w:val="22"/>
        </w:rPr>
      </w:pPr>
      <w:r>
        <w:rPr>
          <w:rFonts w:ascii="Arial" w:hAnsi="Arial" w:cs="Arial"/>
          <w:sz w:val="22"/>
          <w:szCs w:val="22"/>
        </w:rPr>
        <w:t>Details of any decision(s) that were made</w:t>
      </w:r>
    </w:p>
    <w:p w14:paraId="372DD496" w14:textId="77777777" w:rsidR="00AA6B2F" w:rsidRDefault="00AA6B2F" w:rsidP="00AA6B2F">
      <w:pPr>
        <w:pStyle w:val="ListParagraph"/>
        <w:numPr>
          <w:ilvl w:val="0"/>
          <w:numId w:val="25"/>
        </w:numPr>
        <w:rPr>
          <w:rFonts w:ascii="Arial" w:hAnsi="Arial" w:cs="Arial"/>
          <w:sz w:val="22"/>
          <w:szCs w:val="22"/>
        </w:rPr>
      </w:pPr>
      <w:r>
        <w:rPr>
          <w:rFonts w:ascii="Arial" w:hAnsi="Arial" w:cs="Arial"/>
          <w:sz w:val="22"/>
          <w:szCs w:val="22"/>
        </w:rPr>
        <w:t>Any requests made by the patient</w:t>
      </w:r>
    </w:p>
    <w:p w14:paraId="744148D1" w14:textId="77777777" w:rsidR="00AA6B2F" w:rsidRDefault="00AA6B2F" w:rsidP="00AA6B2F">
      <w:pPr>
        <w:pStyle w:val="ListParagraph"/>
        <w:numPr>
          <w:ilvl w:val="0"/>
          <w:numId w:val="25"/>
        </w:numPr>
        <w:rPr>
          <w:rFonts w:ascii="Arial" w:hAnsi="Arial" w:cs="Arial"/>
          <w:sz w:val="22"/>
          <w:szCs w:val="22"/>
        </w:rPr>
      </w:pPr>
      <w:r>
        <w:rPr>
          <w:rFonts w:ascii="Arial" w:hAnsi="Arial" w:cs="Arial"/>
          <w:sz w:val="22"/>
          <w:szCs w:val="22"/>
        </w:rPr>
        <w:t>Any information given to the patient including a hard copies or internet links, patient information leaflet and any other visual or audio information</w:t>
      </w:r>
    </w:p>
    <w:p w14:paraId="07938153" w14:textId="77777777" w:rsidR="00AA6B2F" w:rsidRDefault="00AA6B2F" w:rsidP="00AA6B2F">
      <w:pPr>
        <w:rPr>
          <w:rFonts w:ascii="Arial" w:hAnsi="Arial" w:cs="Arial"/>
          <w:sz w:val="22"/>
          <w:szCs w:val="22"/>
        </w:rPr>
      </w:pPr>
    </w:p>
    <w:p w14:paraId="40D50952" w14:textId="77777777" w:rsidR="00AA6B2F" w:rsidRDefault="00AA6B2F" w:rsidP="00AA6B2F">
      <w:pPr>
        <w:rPr>
          <w:rFonts w:ascii="Arial" w:hAnsi="Arial" w:cs="Arial"/>
          <w:sz w:val="22"/>
          <w:szCs w:val="22"/>
        </w:rPr>
      </w:pPr>
      <w:r>
        <w:rPr>
          <w:rFonts w:ascii="Arial" w:hAnsi="Arial" w:cs="Arial"/>
          <w:sz w:val="22"/>
          <w:szCs w:val="22"/>
        </w:rPr>
        <w:t>If it has been some time since the initial or last consent agreement was made, or should the patient’s condition have changed, or if new information has become available since a patient gave consent, the clinician must again go through the process of obtaining new or further patient consent.</w:t>
      </w:r>
    </w:p>
    <w:p w14:paraId="47D36328" w14:textId="77777777" w:rsidR="00AA6B2F" w:rsidRDefault="00AA6B2F" w:rsidP="00AA6B2F">
      <w:pPr>
        <w:pStyle w:val="ListParagraph"/>
        <w:rPr>
          <w:rFonts w:ascii="Arial" w:hAnsi="Arial" w:cs="Arial"/>
          <w:sz w:val="22"/>
          <w:szCs w:val="22"/>
        </w:rPr>
      </w:pPr>
    </w:p>
    <w:p w14:paraId="138FE39B" w14:textId="77777777" w:rsidR="00AA6B2F" w:rsidRDefault="00AA6B2F" w:rsidP="00AA6B2F">
      <w:pPr>
        <w:pStyle w:val="ListParagraph"/>
        <w:ind w:left="0"/>
        <w:rPr>
          <w:rFonts w:ascii="Arial" w:hAnsi="Arial" w:cs="Arial"/>
          <w:sz w:val="22"/>
          <w:szCs w:val="22"/>
        </w:rPr>
      </w:pPr>
      <w:r>
        <w:rPr>
          <w:rFonts w:ascii="Arial" w:hAnsi="Arial" w:cs="Arial"/>
          <w:sz w:val="22"/>
          <w:szCs w:val="22"/>
        </w:rPr>
        <w:t xml:space="preserve">The entry is to be made using an appropriate </w:t>
      </w:r>
      <w:hyperlink r:id="rId62" w:history="1">
        <w:r>
          <w:rPr>
            <w:rStyle w:val="Hyperlink"/>
            <w:rFonts w:ascii="Arial" w:hAnsi="Arial" w:cs="Arial"/>
          </w:rPr>
          <w:t>SNOMED CT</w:t>
        </w:r>
      </w:hyperlink>
      <w:r>
        <w:rPr>
          <w:rFonts w:ascii="Arial" w:hAnsi="Arial" w:cs="Arial"/>
          <w:sz w:val="22"/>
          <w:szCs w:val="22"/>
        </w:rPr>
        <w:t xml:space="preserve"> consent code.</w:t>
      </w:r>
    </w:p>
    <w:p w14:paraId="121B5E45" w14:textId="77777777" w:rsidR="00AA6B2F" w:rsidRDefault="00AA6B2F" w:rsidP="00AA6B2F">
      <w:pPr>
        <w:pStyle w:val="ListParagraph"/>
        <w:ind w:left="0"/>
        <w:rPr>
          <w:rFonts w:ascii="Arial" w:hAnsi="Arial" w:cs="Arial"/>
          <w:sz w:val="22"/>
          <w:szCs w:val="22"/>
        </w:rPr>
      </w:pPr>
    </w:p>
    <w:p w14:paraId="3EFC2FF1" w14:textId="77777777" w:rsidR="00AA6B2F" w:rsidRDefault="00AA6B2F" w:rsidP="00AA6B2F">
      <w:pPr>
        <w:pStyle w:val="ListParagraph"/>
        <w:ind w:left="0"/>
        <w:rPr>
          <w:rFonts w:ascii="Arial" w:hAnsi="Arial" w:cs="Arial"/>
          <w:sz w:val="22"/>
          <w:szCs w:val="22"/>
        </w:rPr>
      </w:pPr>
      <w:r>
        <w:rPr>
          <w:rFonts w:ascii="Arial" w:hAnsi="Arial" w:cs="Arial"/>
          <w:sz w:val="22"/>
          <w:szCs w:val="22"/>
        </w:rPr>
        <w:t>The generic ‘Consent’ code is SCTID: 61861000000100 although it should be noted that there are many other codes that can be used which are more specific to the type of consent given by searching:</w:t>
      </w:r>
    </w:p>
    <w:p w14:paraId="6BC81733" w14:textId="77777777" w:rsidR="00AA6B2F" w:rsidRDefault="00AA6B2F" w:rsidP="00AA6B2F">
      <w:pPr>
        <w:pStyle w:val="Heading2"/>
        <w:spacing w:line="256" w:lineRule="auto"/>
        <w:rPr>
          <w:rFonts w:ascii="Arial" w:hAnsi="Arial" w:cs="Arial"/>
          <w:sz w:val="24"/>
          <w:szCs w:val="24"/>
          <w:lang w:val="en-GB"/>
        </w:rPr>
      </w:pPr>
      <w:bookmarkStart w:id="40" w:name="_Toc90996075"/>
      <w:bookmarkStart w:id="41" w:name="_Toc90996110"/>
      <w:bookmarkStart w:id="42" w:name="_Toc90996146"/>
      <w:bookmarkStart w:id="43" w:name="_Toc90996467"/>
      <w:bookmarkStart w:id="44" w:name="_Toc90996650"/>
      <w:bookmarkStart w:id="45" w:name="_Toc90996685"/>
      <w:bookmarkStart w:id="46" w:name="_Toc90996721"/>
      <w:bookmarkStart w:id="47" w:name="_Toc90996756"/>
      <w:bookmarkStart w:id="48" w:name="_Toc90996935"/>
      <w:bookmarkStart w:id="49" w:name="_Toc90996969"/>
      <w:bookmarkStart w:id="50" w:name="_Toc90997003"/>
      <w:bookmarkStart w:id="51" w:name="_Toc91750084"/>
      <w:bookmarkStart w:id="52" w:name="_Toc91750123"/>
      <w:bookmarkStart w:id="53" w:name="_Toc91750350"/>
      <w:bookmarkStart w:id="54" w:name="_Toc90996076"/>
      <w:bookmarkStart w:id="55" w:name="_Toc90996111"/>
      <w:bookmarkStart w:id="56" w:name="_Toc90996147"/>
      <w:bookmarkStart w:id="57" w:name="_Toc90996468"/>
      <w:bookmarkStart w:id="58" w:name="_Toc90996651"/>
      <w:bookmarkStart w:id="59" w:name="_Toc90996686"/>
      <w:bookmarkStart w:id="60" w:name="_Toc90996722"/>
      <w:bookmarkStart w:id="61" w:name="_Toc90996757"/>
      <w:bookmarkStart w:id="62" w:name="_Toc90996936"/>
      <w:bookmarkStart w:id="63" w:name="_Toc90996970"/>
      <w:bookmarkStart w:id="64" w:name="_Toc90997004"/>
      <w:bookmarkStart w:id="65" w:name="_Toc91750085"/>
      <w:bookmarkStart w:id="66" w:name="_Toc91750124"/>
      <w:bookmarkStart w:id="67" w:name="_Toc91750351"/>
      <w:bookmarkStart w:id="68" w:name="_Toc9175035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Arial" w:hAnsi="Arial" w:cs="Arial"/>
          <w:sz w:val="24"/>
          <w:szCs w:val="24"/>
          <w:lang w:val="en-GB"/>
        </w:rPr>
        <w:lastRenderedPageBreak/>
        <w:t>When consent is not needed</w:t>
      </w:r>
      <w:bookmarkEnd w:id="68"/>
    </w:p>
    <w:p w14:paraId="762EF9E2" w14:textId="77777777" w:rsidR="00AA6B2F" w:rsidRDefault="00AA6B2F" w:rsidP="00AA6B2F">
      <w:pPr>
        <w:rPr>
          <w:rFonts w:ascii="Arial" w:hAnsi="Arial" w:cs="Arial"/>
          <w:sz w:val="22"/>
          <w:szCs w:val="22"/>
        </w:rPr>
      </w:pPr>
    </w:p>
    <w:p w14:paraId="033544C6" w14:textId="77777777" w:rsidR="00AA6B2F" w:rsidRDefault="00AA6B2F" w:rsidP="00AA6B2F">
      <w:pPr>
        <w:rPr>
          <w:rFonts w:ascii="Arial" w:hAnsi="Arial" w:cs="Arial"/>
          <w:sz w:val="22"/>
          <w:szCs w:val="22"/>
        </w:rPr>
      </w:pPr>
      <w:r>
        <w:rPr>
          <w:rFonts w:ascii="Arial" w:hAnsi="Arial" w:cs="Arial"/>
          <w:sz w:val="22"/>
          <w:szCs w:val="22"/>
        </w:rPr>
        <w:t xml:space="preserve">There are a few exceptions when treatment may be able to proceed without the person's consent, even if they </w:t>
      </w:r>
      <w:proofErr w:type="gramStart"/>
      <w:r>
        <w:rPr>
          <w:rFonts w:ascii="Arial" w:hAnsi="Arial" w:cs="Arial"/>
          <w:sz w:val="22"/>
          <w:szCs w:val="22"/>
        </w:rPr>
        <w:t>are capable of giving</w:t>
      </w:r>
      <w:proofErr w:type="gramEnd"/>
      <w:r>
        <w:rPr>
          <w:rFonts w:ascii="Arial" w:hAnsi="Arial" w:cs="Arial"/>
          <w:sz w:val="22"/>
          <w:szCs w:val="22"/>
        </w:rPr>
        <w:t xml:space="preserve"> their permission. </w:t>
      </w:r>
    </w:p>
    <w:p w14:paraId="2D9C022C" w14:textId="77777777" w:rsidR="00AA6B2F" w:rsidRDefault="00AA6B2F" w:rsidP="00AA6B2F">
      <w:pPr>
        <w:rPr>
          <w:rFonts w:ascii="Arial" w:hAnsi="Arial" w:cs="Arial"/>
          <w:sz w:val="22"/>
          <w:szCs w:val="22"/>
        </w:rPr>
      </w:pPr>
    </w:p>
    <w:p w14:paraId="550C2C33" w14:textId="77777777" w:rsidR="00AA6B2F" w:rsidRDefault="00AA6B2F" w:rsidP="00AA6B2F">
      <w:pPr>
        <w:rPr>
          <w:rFonts w:ascii="Arial" w:hAnsi="Arial" w:cs="Arial"/>
          <w:sz w:val="22"/>
          <w:szCs w:val="22"/>
        </w:rPr>
      </w:pPr>
      <w:r>
        <w:rPr>
          <w:rFonts w:ascii="Arial" w:hAnsi="Arial" w:cs="Arial"/>
          <w:sz w:val="22"/>
          <w:szCs w:val="22"/>
        </w:rPr>
        <w:t xml:space="preserve">NHS England’s </w:t>
      </w:r>
      <w:r>
        <w:rPr>
          <w:rFonts w:ascii="Arial" w:hAnsi="Arial" w:cs="Arial"/>
          <w:i/>
          <w:iCs/>
          <w:sz w:val="22"/>
          <w:szCs w:val="22"/>
        </w:rPr>
        <w:t>Consent to Treatment</w:t>
      </w:r>
      <w:r>
        <w:rPr>
          <w:rFonts w:ascii="Arial" w:hAnsi="Arial" w:cs="Arial"/>
          <w:sz w:val="22"/>
          <w:szCs w:val="22"/>
        </w:rPr>
        <w:t xml:space="preserve"> details the following reasons why it may not be necessary to obtain consent:</w:t>
      </w:r>
    </w:p>
    <w:p w14:paraId="4F0885AE" w14:textId="77777777" w:rsidR="00AA6B2F" w:rsidRDefault="00AA6B2F" w:rsidP="00AA6B2F">
      <w:pPr>
        <w:rPr>
          <w:rFonts w:ascii="Arial" w:hAnsi="Arial" w:cs="Arial"/>
          <w:sz w:val="22"/>
          <w:szCs w:val="22"/>
        </w:rPr>
      </w:pPr>
    </w:p>
    <w:p w14:paraId="14FD464C" w14:textId="77777777" w:rsidR="00AA6B2F" w:rsidRDefault="00AA6B2F" w:rsidP="00AA6B2F">
      <w:pPr>
        <w:pStyle w:val="ListParagraph"/>
        <w:numPr>
          <w:ilvl w:val="0"/>
          <w:numId w:val="26"/>
        </w:numPr>
        <w:rPr>
          <w:rFonts w:ascii="Arial" w:hAnsi="Arial" w:cs="Arial"/>
          <w:sz w:val="22"/>
          <w:szCs w:val="22"/>
        </w:rPr>
      </w:pPr>
      <w:r>
        <w:rPr>
          <w:rFonts w:ascii="Arial" w:hAnsi="Arial" w:cs="Arial"/>
          <w:sz w:val="22"/>
          <w:szCs w:val="22"/>
        </w:rPr>
        <w:t xml:space="preserve">The patient needs emergency treatment to save their </w:t>
      </w:r>
      <w:proofErr w:type="gramStart"/>
      <w:r>
        <w:rPr>
          <w:rFonts w:ascii="Arial" w:hAnsi="Arial" w:cs="Arial"/>
          <w:sz w:val="22"/>
          <w:szCs w:val="22"/>
        </w:rPr>
        <w:t>life</w:t>
      </w:r>
      <w:proofErr w:type="gramEnd"/>
      <w:r>
        <w:rPr>
          <w:rFonts w:ascii="Arial" w:hAnsi="Arial" w:cs="Arial"/>
          <w:sz w:val="22"/>
          <w:szCs w:val="22"/>
        </w:rPr>
        <w:t xml:space="preserve"> but they are incapacitated, for example, they are unconscious. However, the reasons why treatment was necessary should be fully explained once they have recovered</w:t>
      </w:r>
    </w:p>
    <w:p w14:paraId="537E7C2B" w14:textId="77777777" w:rsidR="00AA6B2F" w:rsidRDefault="00AA6B2F" w:rsidP="00AA6B2F">
      <w:pPr>
        <w:pStyle w:val="ListParagraph"/>
        <w:rPr>
          <w:rFonts w:ascii="Arial" w:hAnsi="Arial" w:cs="Arial"/>
          <w:sz w:val="22"/>
          <w:szCs w:val="22"/>
        </w:rPr>
      </w:pPr>
    </w:p>
    <w:p w14:paraId="366E5E0E" w14:textId="77777777" w:rsidR="00AA6B2F" w:rsidRDefault="00AA6B2F" w:rsidP="00AA6B2F">
      <w:pPr>
        <w:pStyle w:val="ListParagraph"/>
        <w:numPr>
          <w:ilvl w:val="0"/>
          <w:numId w:val="26"/>
        </w:numPr>
        <w:rPr>
          <w:rFonts w:ascii="Arial" w:hAnsi="Arial" w:cs="Arial"/>
          <w:sz w:val="22"/>
          <w:szCs w:val="22"/>
        </w:rPr>
      </w:pPr>
      <w:r>
        <w:rPr>
          <w:rFonts w:ascii="Arial" w:hAnsi="Arial" w:cs="Arial"/>
          <w:sz w:val="22"/>
          <w:szCs w:val="22"/>
        </w:rPr>
        <w:t xml:space="preserve">There is an immediate need for an additional emergency procedure during an operation and there </w:t>
      </w:r>
      <w:proofErr w:type="gramStart"/>
      <w:r>
        <w:rPr>
          <w:rFonts w:ascii="Arial" w:hAnsi="Arial" w:cs="Arial"/>
          <w:sz w:val="22"/>
          <w:szCs w:val="22"/>
        </w:rPr>
        <w:t>has to</w:t>
      </w:r>
      <w:proofErr w:type="gramEnd"/>
      <w:r>
        <w:rPr>
          <w:rFonts w:ascii="Arial" w:hAnsi="Arial" w:cs="Arial"/>
          <w:sz w:val="22"/>
          <w:szCs w:val="22"/>
        </w:rPr>
        <w:t xml:space="preserve"> be a clear medical reason why it would be unsafe to wait to obtain consent</w:t>
      </w:r>
    </w:p>
    <w:p w14:paraId="431B1029" w14:textId="77777777" w:rsidR="00AA6B2F" w:rsidRDefault="00AA6B2F" w:rsidP="00AA6B2F">
      <w:pPr>
        <w:pStyle w:val="ListParagraph"/>
        <w:rPr>
          <w:rFonts w:ascii="Arial" w:hAnsi="Arial" w:cs="Arial"/>
          <w:sz w:val="22"/>
          <w:szCs w:val="22"/>
        </w:rPr>
      </w:pPr>
    </w:p>
    <w:p w14:paraId="0047BCE8" w14:textId="77777777" w:rsidR="00AA6B2F" w:rsidRDefault="00AA6B2F" w:rsidP="00AA6B2F">
      <w:pPr>
        <w:pStyle w:val="ListParagraph"/>
        <w:numPr>
          <w:ilvl w:val="0"/>
          <w:numId w:val="26"/>
        </w:numPr>
        <w:rPr>
          <w:rFonts w:ascii="Arial" w:hAnsi="Arial" w:cs="Arial"/>
          <w:sz w:val="22"/>
          <w:szCs w:val="22"/>
        </w:rPr>
      </w:pPr>
      <w:r>
        <w:rPr>
          <w:rFonts w:ascii="Arial" w:hAnsi="Arial" w:cs="Arial"/>
          <w:sz w:val="22"/>
          <w:szCs w:val="22"/>
        </w:rPr>
        <w:t xml:space="preserve">The patient with a severe mental health condition, such as schizophrenia, bipolar disorder or dementia, lacks the capacity to consent to the treatment of their mental health (under the </w:t>
      </w:r>
      <w:hyperlink r:id="rId63" w:history="1">
        <w:r>
          <w:rPr>
            <w:rStyle w:val="Hyperlink"/>
            <w:rFonts w:ascii="Arial" w:hAnsi="Arial" w:cs="Arial"/>
          </w:rPr>
          <w:t>Mental Health Act 1983</w:t>
        </w:r>
      </w:hyperlink>
      <w:r>
        <w:rPr>
          <w:rFonts w:ascii="Arial" w:hAnsi="Arial" w:cs="Arial"/>
          <w:sz w:val="22"/>
          <w:szCs w:val="22"/>
        </w:rPr>
        <w:t>)</w:t>
      </w:r>
    </w:p>
    <w:p w14:paraId="5B26B2BF" w14:textId="77777777" w:rsidR="00AA6B2F" w:rsidRDefault="00AA6B2F" w:rsidP="00AA6B2F">
      <w:pPr>
        <w:pStyle w:val="ListParagraph"/>
        <w:rPr>
          <w:rFonts w:ascii="Arial" w:hAnsi="Arial" w:cs="Arial"/>
          <w:sz w:val="22"/>
          <w:szCs w:val="22"/>
        </w:rPr>
      </w:pPr>
    </w:p>
    <w:p w14:paraId="76A43881" w14:textId="77777777" w:rsidR="00AA6B2F" w:rsidRDefault="00AA6B2F" w:rsidP="00AA6B2F">
      <w:pPr>
        <w:pStyle w:val="ListParagraph"/>
        <w:rPr>
          <w:rFonts w:ascii="Arial" w:hAnsi="Arial" w:cs="Arial"/>
          <w:sz w:val="22"/>
          <w:szCs w:val="22"/>
        </w:rPr>
      </w:pPr>
      <w:r>
        <w:rPr>
          <w:rFonts w:ascii="Arial" w:hAnsi="Arial" w:cs="Arial"/>
          <w:sz w:val="22"/>
          <w:szCs w:val="22"/>
        </w:rPr>
        <w:t>In these cases, treatment for unrelated physical conditions still requires consent which the patient may be able to provide despite their mental illness</w:t>
      </w:r>
    </w:p>
    <w:p w14:paraId="1518A367" w14:textId="77777777" w:rsidR="00AA6B2F" w:rsidRDefault="00AA6B2F" w:rsidP="00AA6B2F">
      <w:pPr>
        <w:pStyle w:val="ListParagraph"/>
      </w:pPr>
    </w:p>
    <w:p w14:paraId="6D4167AE" w14:textId="77777777" w:rsidR="00AA6B2F" w:rsidRDefault="00AA6B2F" w:rsidP="00AA6B2F">
      <w:pPr>
        <w:pStyle w:val="ListParagraph"/>
        <w:numPr>
          <w:ilvl w:val="0"/>
          <w:numId w:val="26"/>
        </w:numPr>
        <w:rPr>
          <w:rFonts w:ascii="Arial" w:hAnsi="Arial" w:cs="Arial"/>
          <w:sz w:val="22"/>
          <w:szCs w:val="22"/>
        </w:rPr>
      </w:pPr>
      <w:r>
        <w:rPr>
          <w:rFonts w:ascii="Arial" w:hAnsi="Arial" w:cs="Arial"/>
          <w:sz w:val="22"/>
          <w:szCs w:val="22"/>
        </w:rPr>
        <w:t>The patient needs hospital treatment for a severe mental health condition but self-harmed or attempted suicide while competent and is refusing treatment (under the Mental Health Act 1983)</w:t>
      </w:r>
    </w:p>
    <w:p w14:paraId="01336012" w14:textId="77777777" w:rsidR="00AA6B2F" w:rsidRDefault="00AA6B2F" w:rsidP="00AA6B2F">
      <w:pPr>
        <w:pStyle w:val="ListParagraph"/>
        <w:rPr>
          <w:rFonts w:ascii="Arial" w:hAnsi="Arial" w:cs="Arial"/>
          <w:sz w:val="22"/>
          <w:szCs w:val="22"/>
        </w:rPr>
      </w:pPr>
    </w:p>
    <w:p w14:paraId="2AF94EB5" w14:textId="77777777" w:rsidR="00AA6B2F" w:rsidRDefault="00AA6B2F" w:rsidP="00AA6B2F">
      <w:pPr>
        <w:pStyle w:val="ListParagraph"/>
        <w:rPr>
          <w:rFonts w:ascii="Arial" w:hAnsi="Arial" w:cs="Arial"/>
          <w:sz w:val="22"/>
          <w:szCs w:val="22"/>
        </w:rPr>
      </w:pPr>
      <w:r>
        <w:rPr>
          <w:rFonts w:ascii="Arial" w:hAnsi="Arial" w:cs="Arial"/>
          <w:sz w:val="22"/>
          <w:szCs w:val="22"/>
        </w:rPr>
        <w:t>In these instances, the person's nearest relative or an approved social worker must make an application for the person to be forcibly detained in hospital and two doctors must assess the person's condition</w:t>
      </w:r>
    </w:p>
    <w:p w14:paraId="394D4A20" w14:textId="77777777" w:rsidR="00AA6B2F" w:rsidRDefault="00AA6B2F" w:rsidP="00AA6B2F">
      <w:pPr>
        <w:rPr>
          <w:rFonts w:ascii="Arial" w:hAnsi="Arial" w:cs="Arial"/>
          <w:sz w:val="22"/>
          <w:szCs w:val="22"/>
        </w:rPr>
      </w:pPr>
    </w:p>
    <w:p w14:paraId="652180D5" w14:textId="77777777" w:rsidR="00AA6B2F" w:rsidRDefault="00AA6B2F" w:rsidP="00AA6B2F">
      <w:pPr>
        <w:pStyle w:val="ListParagraph"/>
        <w:numPr>
          <w:ilvl w:val="0"/>
          <w:numId w:val="26"/>
        </w:numPr>
        <w:rPr>
          <w:rFonts w:ascii="Arial" w:hAnsi="Arial" w:cs="Arial"/>
          <w:sz w:val="22"/>
          <w:szCs w:val="22"/>
        </w:rPr>
      </w:pPr>
      <w:r>
        <w:rPr>
          <w:rFonts w:ascii="Arial" w:hAnsi="Arial" w:cs="Arial"/>
          <w:sz w:val="22"/>
          <w:szCs w:val="22"/>
        </w:rPr>
        <w:t xml:space="preserve">There is a risk to public health </w:t>
      </w:r>
      <w:proofErr w:type="gramStart"/>
      <w:r>
        <w:rPr>
          <w:rFonts w:ascii="Arial" w:hAnsi="Arial" w:cs="Arial"/>
          <w:sz w:val="22"/>
          <w:szCs w:val="22"/>
        </w:rPr>
        <w:t>as a result of</w:t>
      </w:r>
      <w:proofErr w:type="gramEnd"/>
      <w:r>
        <w:rPr>
          <w:rFonts w:ascii="Arial" w:hAnsi="Arial" w:cs="Arial"/>
          <w:sz w:val="22"/>
          <w:szCs w:val="22"/>
        </w:rPr>
        <w:t xml:space="preserve"> rabies, cholera or tuberculosis (TB)</w:t>
      </w:r>
    </w:p>
    <w:p w14:paraId="51584D62" w14:textId="77777777" w:rsidR="00AA6B2F" w:rsidRDefault="00AA6B2F" w:rsidP="00AA6B2F">
      <w:pPr>
        <w:pStyle w:val="ListParagraph"/>
        <w:rPr>
          <w:rFonts w:ascii="Arial" w:hAnsi="Arial" w:cs="Arial"/>
          <w:sz w:val="22"/>
          <w:szCs w:val="22"/>
        </w:rPr>
      </w:pPr>
    </w:p>
    <w:p w14:paraId="439D98EB" w14:textId="77777777" w:rsidR="00AA6B2F" w:rsidRDefault="00AA6B2F" w:rsidP="00AA6B2F">
      <w:pPr>
        <w:pStyle w:val="ListParagraph"/>
        <w:numPr>
          <w:ilvl w:val="0"/>
          <w:numId w:val="26"/>
        </w:numPr>
        <w:rPr>
          <w:rFonts w:ascii="Arial" w:hAnsi="Arial" w:cs="Arial"/>
          <w:sz w:val="22"/>
          <w:szCs w:val="22"/>
        </w:rPr>
      </w:pPr>
      <w:r>
        <w:rPr>
          <w:rFonts w:ascii="Arial" w:hAnsi="Arial" w:cs="Arial"/>
          <w:sz w:val="22"/>
          <w:szCs w:val="22"/>
        </w:rPr>
        <w:t xml:space="preserve">A person who is severely ill or infirm and living in unsanitary conditions can be taken to a place of care without their consent. </w:t>
      </w:r>
    </w:p>
    <w:p w14:paraId="100053EE" w14:textId="77777777" w:rsidR="00AA6B2F" w:rsidRDefault="00AA6B2F" w:rsidP="00AA6B2F">
      <w:pPr>
        <w:pStyle w:val="ListParagraph"/>
        <w:rPr>
          <w:rFonts w:ascii="Arial" w:hAnsi="Arial" w:cs="Arial"/>
          <w:sz w:val="22"/>
          <w:szCs w:val="22"/>
        </w:rPr>
      </w:pPr>
    </w:p>
    <w:p w14:paraId="77A07BCB" w14:textId="77777777" w:rsidR="00AA6B2F" w:rsidRDefault="00AA6B2F" w:rsidP="00AA6B2F">
      <w:pPr>
        <w:pStyle w:val="ListParagraph"/>
        <w:rPr>
          <w:rFonts w:ascii="Arial" w:hAnsi="Arial" w:cs="Arial"/>
          <w:sz w:val="22"/>
          <w:szCs w:val="22"/>
        </w:rPr>
      </w:pPr>
      <w:r>
        <w:rPr>
          <w:rFonts w:ascii="Arial" w:hAnsi="Arial" w:cs="Arial"/>
          <w:sz w:val="22"/>
          <w:szCs w:val="22"/>
        </w:rPr>
        <w:t xml:space="preserve">This falls under the </w:t>
      </w:r>
      <w:hyperlink r:id="rId64" w:history="1">
        <w:r>
          <w:rPr>
            <w:rStyle w:val="Hyperlink"/>
            <w:rFonts w:ascii="Arial" w:hAnsi="Arial" w:cs="Arial"/>
          </w:rPr>
          <w:t>National Assistance Act 1948</w:t>
        </w:r>
      </w:hyperlink>
      <w:r>
        <w:rPr>
          <w:rFonts w:ascii="Arial" w:hAnsi="Arial" w:cs="Arial"/>
          <w:sz w:val="22"/>
          <w:szCs w:val="22"/>
        </w:rPr>
        <w:t>.</w:t>
      </w:r>
    </w:p>
    <w:p w14:paraId="62BA0CA3" w14:textId="77777777" w:rsidR="00AA6B2F" w:rsidRDefault="00AA6B2F" w:rsidP="00AA6B2F">
      <w:pPr>
        <w:pStyle w:val="Heading2"/>
        <w:spacing w:line="256" w:lineRule="auto"/>
        <w:rPr>
          <w:rFonts w:ascii="Arial" w:hAnsi="Arial" w:cs="Arial"/>
          <w:sz w:val="24"/>
          <w:szCs w:val="24"/>
          <w:lang w:val="en-GB"/>
        </w:rPr>
      </w:pPr>
      <w:bookmarkStart w:id="69" w:name="_Toc91750353"/>
      <w:r>
        <w:rPr>
          <w:rFonts w:ascii="Arial" w:hAnsi="Arial" w:cs="Arial"/>
          <w:sz w:val="24"/>
          <w:szCs w:val="24"/>
          <w:lang w:val="en-GB"/>
        </w:rPr>
        <w:t>Implied consent</w:t>
      </w:r>
      <w:bookmarkEnd w:id="69"/>
    </w:p>
    <w:p w14:paraId="1683A6A7"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539D1B8D"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Implied consent is where a patient does not give either verbal or written </w:t>
      </w:r>
      <w:proofErr w:type="gramStart"/>
      <w:r>
        <w:rPr>
          <w:rFonts w:ascii="Arial" w:hAnsi="Arial" w:cs="Arial"/>
          <w:color w:val="000000" w:themeColor="text1"/>
          <w:sz w:val="22"/>
          <w:szCs w:val="22"/>
        </w:rPr>
        <w:t>consent</w:t>
      </w:r>
      <w:proofErr w:type="gramEnd"/>
      <w:r>
        <w:rPr>
          <w:rFonts w:ascii="Arial" w:hAnsi="Arial" w:cs="Arial"/>
          <w:color w:val="000000" w:themeColor="text1"/>
          <w:sz w:val="22"/>
          <w:szCs w:val="22"/>
        </w:rPr>
        <w:t xml:space="preserve"> but the actions of the patient demonstrate consent, such as:</w:t>
      </w:r>
    </w:p>
    <w:p w14:paraId="4D36C39E"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48FB649B" w14:textId="77777777" w:rsidR="00AA6B2F" w:rsidRDefault="00AA6B2F" w:rsidP="00AA6B2F">
      <w:pPr>
        <w:pStyle w:val="NormalWeb"/>
        <w:numPr>
          <w:ilvl w:val="0"/>
          <w:numId w:val="27"/>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 patient rolling up a sleeve to have their blood pressure taken</w:t>
      </w:r>
    </w:p>
    <w:p w14:paraId="6F4F70D6" w14:textId="77777777" w:rsidR="00AA6B2F" w:rsidRDefault="00AA6B2F" w:rsidP="00AA6B2F">
      <w:pPr>
        <w:pStyle w:val="NormalWeb"/>
        <w:numPr>
          <w:ilvl w:val="0"/>
          <w:numId w:val="27"/>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 patient holding out an arm to have a blood sample taken</w:t>
      </w:r>
    </w:p>
    <w:p w14:paraId="55A8BC79" w14:textId="77777777" w:rsidR="00AA6B2F" w:rsidRDefault="00AA6B2F" w:rsidP="00AA6B2F">
      <w:pPr>
        <w:pStyle w:val="NormalWeb"/>
        <w:numPr>
          <w:ilvl w:val="0"/>
          <w:numId w:val="27"/>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 patient opening their mouth to have their throat examined</w:t>
      </w:r>
    </w:p>
    <w:p w14:paraId="45535C2D"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2A040B9B"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Patients can withdraw consent at any time and, if this occurs, clinicians must stop the procedure safely, listen to the concerns of the patient and explain the consequences of not finishing the procedure. </w:t>
      </w:r>
    </w:p>
    <w:p w14:paraId="783E0A4E"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7F1E39BC"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It should be noted that implied consent is still valid within a clinical setting. </w:t>
      </w:r>
    </w:p>
    <w:p w14:paraId="4599D49D" w14:textId="77777777" w:rsidR="00AA6B2F" w:rsidRDefault="00AA6B2F" w:rsidP="00AA6B2F">
      <w:pPr>
        <w:pStyle w:val="Heading2"/>
        <w:spacing w:line="256" w:lineRule="auto"/>
        <w:rPr>
          <w:rFonts w:ascii="Arial" w:hAnsi="Arial" w:cs="Arial"/>
          <w:sz w:val="24"/>
          <w:szCs w:val="24"/>
          <w:lang w:val="en-GB"/>
        </w:rPr>
      </w:pPr>
      <w:bookmarkStart w:id="70" w:name="_Toc91750354"/>
      <w:r>
        <w:rPr>
          <w:rFonts w:ascii="Arial" w:hAnsi="Arial" w:cs="Arial"/>
          <w:sz w:val="24"/>
          <w:szCs w:val="24"/>
          <w:lang w:val="en-GB"/>
        </w:rPr>
        <w:lastRenderedPageBreak/>
        <w:t>Obtaining consent</w:t>
      </w:r>
      <w:bookmarkEnd w:id="70"/>
    </w:p>
    <w:p w14:paraId="397E537E" w14:textId="77777777" w:rsidR="00AA6B2F" w:rsidRDefault="00AA6B2F" w:rsidP="00AA6B2F">
      <w:pPr>
        <w:pStyle w:val="NormalWeb"/>
        <w:shd w:val="clear" w:color="auto" w:fill="FFFFFF"/>
        <w:spacing w:before="0" w:beforeAutospacing="0" w:after="0" w:afterAutospacing="0" w:line="336" w:lineRule="atLeast"/>
        <w:rPr>
          <w:rFonts w:asciiTheme="minorHAnsi" w:hAnsiTheme="minorHAnsi" w:cs="Arial"/>
          <w:color w:val="000000" w:themeColor="text1"/>
        </w:rPr>
      </w:pPr>
    </w:p>
    <w:p w14:paraId="3E55D50D"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It is the responsibility of the clinician carrying out the procedure or examination to obtain consent from the patient. The amount of information the clinician needs to provide varies on a case-by-case </w:t>
      </w:r>
      <w:proofErr w:type="gramStart"/>
      <w:r>
        <w:rPr>
          <w:rFonts w:ascii="Arial" w:hAnsi="Arial" w:cs="Arial"/>
          <w:color w:val="000000" w:themeColor="text1"/>
          <w:sz w:val="22"/>
          <w:szCs w:val="22"/>
        </w:rPr>
        <w:t>basis</w:t>
      </w:r>
      <w:proofErr w:type="gramEnd"/>
      <w:r>
        <w:rPr>
          <w:rFonts w:ascii="Arial" w:hAnsi="Arial" w:cs="Arial"/>
          <w:color w:val="000000" w:themeColor="text1"/>
          <w:sz w:val="22"/>
          <w:szCs w:val="22"/>
        </w:rPr>
        <w:t xml:space="preserve"> but the clinician will in all scenarios:</w:t>
      </w:r>
    </w:p>
    <w:p w14:paraId="7DDB2A1D"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5BEB84EF"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Try to ascertain the patient’s individual needs and wishes</w:t>
      </w:r>
    </w:p>
    <w:p w14:paraId="75579BF7"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3D073616"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Ensure the patient has the capacity to consent</w:t>
      </w:r>
    </w:p>
    <w:p w14:paraId="58B2BE6F"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5C409D5C"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Explain the requirement for and purpose of the procedure, </w:t>
      </w:r>
      <w:proofErr w:type="gramStart"/>
      <w:r>
        <w:rPr>
          <w:rFonts w:ascii="Arial" w:hAnsi="Arial" w:cs="Arial"/>
          <w:color w:val="000000" w:themeColor="text1"/>
          <w:sz w:val="22"/>
          <w:szCs w:val="22"/>
        </w:rPr>
        <w:t>examination</w:t>
      </w:r>
      <w:proofErr w:type="gramEnd"/>
      <w:r>
        <w:rPr>
          <w:rFonts w:ascii="Arial" w:hAnsi="Arial" w:cs="Arial"/>
          <w:color w:val="000000" w:themeColor="text1"/>
          <w:sz w:val="22"/>
          <w:szCs w:val="22"/>
        </w:rPr>
        <w:t xml:space="preserve"> or treatment</w:t>
      </w:r>
    </w:p>
    <w:p w14:paraId="35E1C7FC"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31C1E82A"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Discuss the options available to the patient including the option not to proceed</w:t>
      </w:r>
    </w:p>
    <w:p w14:paraId="76F45006"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15AEDBEF"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proofErr w:type="gramStart"/>
      <w:r>
        <w:rPr>
          <w:rFonts w:ascii="Arial" w:hAnsi="Arial" w:cs="Arial"/>
          <w:color w:val="000000" w:themeColor="text1"/>
          <w:sz w:val="22"/>
          <w:szCs w:val="22"/>
        </w:rPr>
        <w:t>Give an explanation of</w:t>
      </w:r>
      <w:proofErr w:type="gramEnd"/>
      <w:r>
        <w:rPr>
          <w:rFonts w:ascii="Arial" w:hAnsi="Arial" w:cs="Arial"/>
          <w:color w:val="000000" w:themeColor="text1"/>
          <w:sz w:val="22"/>
          <w:szCs w:val="22"/>
        </w:rPr>
        <w:t xml:space="preserve"> the benefits and associated risks or side effects</w:t>
      </w:r>
    </w:p>
    <w:p w14:paraId="70382D13"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36261628"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Discuss the possibility of any issues which may arise during the process</w:t>
      </w:r>
    </w:p>
    <w:p w14:paraId="6E2CD7DE"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49624999"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Answer any questions the patient may ask prior to consenting</w:t>
      </w:r>
    </w:p>
    <w:p w14:paraId="5AAE466D"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6AD0A740"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Explain that the clinician conducting the examination, procedure or treatment will obtain the patient’s consent</w:t>
      </w:r>
    </w:p>
    <w:p w14:paraId="61AD326A"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4C740990"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Remind the patient that they can withdraw consent at any time</w:t>
      </w:r>
    </w:p>
    <w:p w14:paraId="1A9FB939"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7C91865C"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Reassure the patient that the examination, </w:t>
      </w:r>
      <w:proofErr w:type="gramStart"/>
      <w:r>
        <w:rPr>
          <w:rFonts w:ascii="Arial" w:hAnsi="Arial" w:cs="Arial"/>
          <w:color w:val="000000" w:themeColor="text1"/>
          <w:sz w:val="22"/>
          <w:szCs w:val="22"/>
        </w:rPr>
        <w:t>treatment</w:t>
      </w:r>
      <w:proofErr w:type="gramEnd"/>
      <w:r>
        <w:rPr>
          <w:rFonts w:ascii="Arial" w:hAnsi="Arial" w:cs="Arial"/>
          <w:color w:val="000000" w:themeColor="text1"/>
          <w:sz w:val="22"/>
          <w:szCs w:val="22"/>
        </w:rPr>
        <w:t xml:space="preserve"> or procedure is for their benefit but that the overall choice to proceed rests with them </w:t>
      </w:r>
    </w:p>
    <w:p w14:paraId="75DC82A3"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278C93F0"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Offer the patient the option of a second opinion </w:t>
      </w:r>
    </w:p>
    <w:p w14:paraId="5714273E"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Provide advice regarding the post-examination, </w:t>
      </w:r>
      <w:proofErr w:type="gramStart"/>
      <w:r>
        <w:rPr>
          <w:rFonts w:ascii="Arial" w:hAnsi="Arial" w:cs="Arial"/>
          <w:color w:val="000000" w:themeColor="text1"/>
          <w:sz w:val="22"/>
          <w:szCs w:val="22"/>
        </w:rPr>
        <w:t>treatment</w:t>
      </w:r>
      <w:proofErr w:type="gramEnd"/>
      <w:r>
        <w:rPr>
          <w:rFonts w:ascii="Arial" w:hAnsi="Arial" w:cs="Arial"/>
          <w:color w:val="000000" w:themeColor="text1"/>
          <w:sz w:val="22"/>
          <w:szCs w:val="22"/>
        </w:rPr>
        <w:t xml:space="preserve"> or procedure recovery process</w:t>
      </w:r>
    </w:p>
    <w:p w14:paraId="3B32532F"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14AE0DDD"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Where applicable, a consent form will be completed and signed by the patient</w:t>
      </w:r>
    </w:p>
    <w:p w14:paraId="74569E50"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3A046AC2"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The form at </w:t>
      </w:r>
      <w:hyperlink r:id="rId65" w:anchor="_Annex_A_–" w:history="1">
        <w:r>
          <w:rPr>
            <w:rStyle w:val="Hyperlink"/>
            <w:rFonts w:ascii="Arial" w:hAnsi="Arial" w:cs="Arial"/>
          </w:rPr>
          <w:t>Annex A</w:t>
        </w:r>
      </w:hyperlink>
      <w:r>
        <w:rPr>
          <w:rFonts w:ascii="Arial" w:hAnsi="Arial" w:cs="Arial"/>
          <w:color w:val="000000" w:themeColor="text1"/>
          <w:sz w:val="22"/>
          <w:szCs w:val="22"/>
        </w:rPr>
        <w:t xml:space="preserve"> should be amended in accordance with UK Government </w:t>
      </w:r>
      <w:hyperlink r:id="rId66" w:history="1">
        <w:r>
          <w:rPr>
            <w:rStyle w:val="Hyperlink"/>
            <w:rFonts w:ascii="Arial" w:hAnsi="Arial" w:cs="Arial"/>
          </w:rPr>
          <w:t>guidance</w:t>
        </w:r>
      </w:hyperlink>
      <w:r>
        <w:rPr>
          <w:rFonts w:ascii="Arial" w:hAnsi="Arial" w:cs="Arial"/>
          <w:color w:val="000000" w:themeColor="text1"/>
          <w:sz w:val="22"/>
          <w:szCs w:val="22"/>
        </w:rPr>
        <w:t xml:space="preserve"> as appropriate to accommodate:</w:t>
      </w:r>
    </w:p>
    <w:p w14:paraId="56806C84"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17CFEE34" w14:textId="77777777" w:rsidR="00AA6B2F" w:rsidRDefault="00AA6B2F" w:rsidP="00AA6B2F">
      <w:pPr>
        <w:pStyle w:val="NormalWeb"/>
        <w:numPr>
          <w:ilvl w:val="0"/>
          <w:numId w:val="29"/>
        </w:numPr>
        <w:shd w:val="clear" w:color="auto" w:fill="FFFFFF"/>
        <w:spacing w:before="0" w:beforeAutospacing="0" w:after="0" w:afterAutospacing="0"/>
        <w:rPr>
          <w:rFonts w:ascii="Arial" w:hAnsi="Arial" w:cs="Arial"/>
          <w:sz w:val="22"/>
          <w:szCs w:val="22"/>
        </w:rPr>
      </w:pPr>
      <w:r>
        <w:rPr>
          <w:rFonts w:ascii="Arial" w:hAnsi="Arial" w:cs="Arial"/>
          <w:sz w:val="22"/>
          <w:szCs w:val="22"/>
        </w:rPr>
        <w:t>Parental agreement to the investigation of or treatment for a child</w:t>
      </w:r>
    </w:p>
    <w:p w14:paraId="1EF20A19" w14:textId="77777777" w:rsidR="00AA6B2F" w:rsidRDefault="00AA6B2F" w:rsidP="00AA6B2F">
      <w:pPr>
        <w:pStyle w:val="NormalWeb"/>
        <w:numPr>
          <w:ilvl w:val="0"/>
          <w:numId w:val="29"/>
        </w:numPr>
        <w:shd w:val="clear" w:color="auto" w:fill="FFFFFF"/>
        <w:spacing w:before="0" w:beforeAutospacing="0" w:after="0" w:afterAutospacing="0"/>
        <w:rPr>
          <w:rFonts w:ascii="Arial" w:hAnsi="Arial" w:cs="Arial"/>
          <w:sz w:val="22"/>
          <w:szCs w:val="22"/>
        </w:rPr>
      </w:pPr>
      <w:r>
        <w:rPr>
          <w:rFonts w:ascii="Arial" w:hAnsi="Arial" w:cs="Arial"/>
          <w:sz w:val="22"/>
          <w:szCs w:val="22"/>
        </w:rPr>
        <w:t>Combined patient/parental agreement to investigation or treatment</w:t>
      </w:r>
    </w:p>
    <w:p w14:paraId="467A2651" w14:textId="77777777" w:rsidR="00AA6B2F" w:rsidRDefault="00AA6B2F" w:rsidP="00AA6B2F">
      <w:pPr>
        <w:pStyle w:val="NormalWeb"/>
        <w:numPr>
          <w:ilvl w:val="0"/>
          <w:numId w:val="29"/>
        </w:numPr>
        <w:shd w:val="clear" w:color="auto" w:fill="FFFFFF"/>
        <w:spacing w:before="0" w:beforeAutospacing="0" w:after="0" w:afterAutospacing="0"/>
        <w:rPr>
          <w:rFonts w:ascii="Arial" w:hAnsi="Arial" w:cs="Arial"/>
          <w:sz w:val="22"/>
          <w:szCs w:val="22"/>
        </w:rPr>
      </w:pPr>
      <w:r>
        <w:rPr>
          <w:rFonts w:ascii="Arial" w:hAnsi="Arial" w:cs="Arial"/>
          <w:sz w:val="22"/>
          <w:szCs w:val="22"/>
        </w:rPr>
        <w:t>Adults who are unable to consent to an investigation or treatment.</w:t>
      </w:r>
    </w:p>
    <w:p w14:paraId="571CC4F8" w14:textId="77777777" w:rsidR="00AA6B2F" w:rsidRDefault="00AA6B2F" w:rsidP="00AA6B2F">
      <w:pPr>
        <w:pStyle w:val="NormalWeb"/>
        <w:shd w:val="clear" w:color="auto" w:fill="FFFFFF"/>
        <w:spacing w:before="0" w:beforeAutospacing="0" w:after="0" w:afterAutospacing="0"/>
        <w:rPr>
          <w:rFonts w:ascii="Arial" w:hAnsi="Arial" w:cs="Arial"/>
          <w:sz w:val="22"/>
          <w:szCs w:val="22"/>
        </w:rPr>
      </w:pPr>
    </w:p>
    <w:p w14:paraId="05BD4C3E"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sz w:val="22"/>
          <w:szCs w:val="22"/>
        </w:rPr>
        <w:t xml:space="preserve">This list is not </w:t>
      </w:r>
      <w:proofErr w:type="gramStart"/>
      <w:r>
        <w:rPr>
          <w:rFonts w:ascii="Arial" w:hAnsi="Arial" w:cs="Arial"/>
          <w:sz w:val="22"/>
          <w:szCs w:val="22"/>
        </w:rPr>
        <w:t>exhaustive</w:t>
      </w:r>
      <w:proofErr w:type="gramEnd"/>
      <w:r>
        <w:rPr>
          <w:rFonts w:ascii="Arial" w:hAnsi="Arial" w:cs="Arial"/>
          <w:sz w:val="22"/>
          <w:szCs w:val="22"/>
        </w:rPr>
        <w:t xml:space="preserve"> and clinicians must ensure that the patient has been given all the necessary information available in order for them to make a voluntary, informed decision.</w:t>
      </w:r>
    </w:p>
    <w:p w14:paraId="4A229A73" w14:textId="77777777" w:rsidR="00AA6B2F" w:rsidRDefault="00AA6B2F" w:rsidP="00AA6B2F">
      <w:pPr>
        <w:pStyle w:val="Heading2"/>
        <w:spacing w:line="256" w:lineRule="auto"/>
        <w:rPr>
          <w:rFonts w:ascii="Arial" w:hAnsi="Arial" w:cs="Arial"/>
          <w:sz w:val="24"/>
          <w:szCs w:val="24"/>
        </w:rPr>
      </w:pPr>
      <w:bookmarkStart w:id="71" w:name="_Toc91750355"/>
      <w:r>
        <w:rPr>
          <w:rFonts w:ascii="Arial" w:hAnsi="Arial" w:cs="Arial"/>
          <w:sz w:val="24"/>
          <w:szCs w:val="24"/>
          <w:lang w:val="en-GB"/>
        </w:rPr>
        <w:t>Delegation of responsibility for obtaining consent</w:t>
      </w:r>
      <w:bookmarkEnd w:id="71"/>
    </w:p>
    <w:p w14:paraId="2C8C02E6"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1257F239"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The clinician undertaking the procedure or treatment may delegate the responsibility for seeking patient consent to someone else </w:t>
      </w:r>
      <w:proofErr w:type="gramStart"/>
      <w:r>
        <w:rPr>
          <w:rFonts w:ascii="Arial" w:hAnsi="Arial" w:cs="Arial"/>
          <w:color w:val="000000" w:themeColor="text1"/>
          <w:sz w:val="22"/>
          <w:szCs w:val="22"/>
        </w:rPr>
        <w:t>provided that</w:t>
      </w:r>
      <w:proofErr w:type="gramEnd"/>
      <w:r>
        <w:rPr>
          <w:rFonts w:ascii="Arial" w:hAnsi="Arial" w:cs="Arial"/>
          <w:color w:val="000000" w:themeColor="text1"/>
          <w:sz w:val="22"/>
          <w:szCs w:val="22"/>
        </w:rPr>
        <w:t xml:space="preserve"> they are satisfied that the person to whom this delegation is given:</w:t>
      </w:r>
    </w:p>
    <w:p w14:paraId="52F41ED1"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7A4F14E9" w14:textId="77777777" w:rsidR="00AA6B2F" w:rsidRDefault="00AA6B2F" w:rsidP="00AA6B2F">
      <w:pPr>
        <w:pStyle w:val="NormalWeb"/>
        <w:numPr>
          <w:ilvl w:val="0"/>
          <w:numId w:val="30"/>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Has sufficient knowledge and understands the risks involved in the proposed investigation or treatment </w:t>
      </w:r>
    </w:p>
    <w:p w14:paraId="46E21871"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6AD0932C" w14:textId="77777777" w:rsidR="00AA6B2F" w:rsidRDefault="00AA6B2F" w:rsidP="00AA6B2F">
      <w:pPr>
        <w:pStyle w:val="NormalWeb"/>
        <w:numPr>
          <w:ilvl w:val="0"/>
          <w:numId w:val="30"/>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Is suitably trained and qualified and acts in accordance with the guidance contained in the </w:t>
      </w:r>
      <w:hyperlink r:id="rId67" w:history="1">
        <w:r>
          <w:rPr>
            <w:rStyle w:val="Hyperlink"/>
            <w:rFonts w:ascii="Arial" w:hAnsi="Arial" w:cs="Arial"/>
          </w:rPr>
          <w:t>BMA patient consent toolkit</w:t>
        </w:r>
      </w:hyperlink>
    </w:p>
    <w:p w14:paraId="5EAADCF1" w14:textId="77777777" w:rsidR="00AA6B2F" w:rsidRDefault="00AA6B2F" w:rsidP="00AA6B2F">
      <w:pPr>
        <w:pStyle w:val="Heading2"/>
        <w:spacing w:line="256" w:lineRule="auto"/>
        <w:rPr>
          <w:rFonts w:ascii="Arial" w:hAnsi="Arial" w:cs="Arial"/>
          <w:sz w:val="24"/>
          <w:szCs w:val="24"/>
          <w:lang w:val="en-GB"/>
        </w:rPr>
      </w:pPr>
      <w:bookmarkStart w:id="72" w:name="_Toc91750356"/>
      <w:r>
        <w:rPr>
          <w:rFonts w:ascii="Arial" w:hAnsi="Arial" w:cs="Arial"/>
          <w:sz w:val="24"/>
          <w:szCs w:val="24"/>
          <w:lang w:val="en-GB"/>
        </w:rPr>
        <w:t>Consent for children and young people</w:t>
      </w:r>
      <w:bookmarkEnd w:id="72"/>
    </w:p>
    <w:p w14:paraId="5BEB015C" w14:textId="77777777" w:rsidR="00AA6B2F" w:rsidRDefault="00AA6B2F" w:rsidP="00AA6B2F"/>
    <w:p w14:paraId="61A01145"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Young people aged 16 to17 are presumed to be capable of consenting to medical examinations, </w:t>
      </w:r>
      <w:proofErr w:type="gramStart"/>
      <w:r>
        <w:rPr>
          <w:rFonts w:ascii="Arial" w:hAnsi="Arial" w:cs="Arial"/>
          <w:color w:val="000000" w:themeColor="text1"/>
          <w:sz w:val="22"/>
          <w:szCs w:val="22"/>
        </w:rPr>
        <w:t>treatments</w:t>
      </w:r>
      <w:proofErr w:type="gramEnd"/>
      <w:r>
        <w:rPr>
          <w:rFonts w:ascii="Arial" w:hAnsi="Arial" w:cs="Arial"/>
          <w:color w:val="000000" w:themeColor="text1"/>
          <w:sz w:val="22"/>
          <w:szCs w:val="22"/>
        </w:rPr>
        <w:t xml:space="preserve"> or procedures.  As per adults, consent will only be deemed valid if it is given voluntarily by an appropriately informed young person.</w:t>
      </w:r>
    </w:p>
    <w:p w14:paraId="54C35EA7" w14:textId="77777777" w:rsidR="00AA6B2F" w:rsidRDefault="00AA6B2F" w:rsidP="00AA6B2F">
      <w:pPr>
        <w:pStyle w:val="NormalWeb"/>
        <w:rPr>
          <w:rFonts w:ascii="Arial" w:hAnsi="Arial" w:cs="Arial"/>
          <w:color w:val="000000" w:themeColor="text1"/>
          <w:sz w:val="22"/>
          <w:szCs w:val="22"/>
        </w:rPr>
      </w:pPr>
      <w:r>
        <w:rPr>
          <w:rFonts w:ascii="Arial" w:hAnsi="Arial" w:cs="Arial"/>
          <w:color w:val="000000" w:themeColor="text1"/>
          <w:sz w:val="22"/>
          <w:szCs w:val="22"/>
        </w:rPr>
        <w:t xml:space="preserve">The General Data Protection Regulation (GDPR) does not alter the principle of Gillick competence. A child under the age of 16 may be Gillick competent to give consent to medical examinations, </w:t>
      </w:r>
      <w:proofErr w:type="gramStart"/>
      <w:r>
        <w:rPr>
          <w:rFonts w:ascii="Arial" w:hAnsi="Arial" w:cs="Arial"/>
          <w:color w:val="000000" w:themeColor="text1"/>
          <w:sz w:val="22"/>
          <w:szCs w:val="22"/>
        </w:rPr>
        <w:t>treatments</w:t>
      </w:r>
      <w:proofErr w:type="gramEnd"/>
      <w:r>
        <w:rPr>
          <w:rFonts w:ascii="Arial" w:hAnsi="Arial" w:cs="Arial"/>
          <w:color w:val="000000" w:themeColor="text1"/>
          <w:sz w:val="22"/>
          <w:szCs w:val="22"/>
        </w:rPr>
        <w:t xml:space="preserve"> or procedures. Gillick competence shows that a child under the age of 16 who ‘has sufficient understanding and intelligence to enable them to understand fully what is involved in a proposed intervention will also have the capacity to consent to that intervention’.</w:t>
      </w:r>
      <w:r>
        <w:rPr>
          <w:rStyle w:val="FootnoteReference"/>
          <w:rFonts w:ascii="Arial" w:hAnsi="Arial" w:cs="Arial"/>
          <w:color w:val="000000" w:themeColor="text1"/>
        </w:rPr>
        <w:footnoteReference w:id="4"/>
      </w:r>
      <w:r>
        <w:rPr>
          <w:rFonts w:ascii="Arial" w:hAnsi="Arial" w:cs="Arial"/>
          <w:color w:val="000000" w:themeColor="text1"/>
          <w:sz w:val="22"/>
          <w:szCs w:val="22"/>
        </w:rPr>
        <w:t xml:space="preserve"> </w:t>
      </w:r>
    </w:p>
    <w:p w14:paraId="66131DA8"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There is a duty to keep the child’s best interests at the heart of any decision and the child or young person should be involved in the decision-making process as far as possible. However, it is deemed good practice to involve the family or carers of the child in the decision-making process providing the child is content for this information to be shared.  </w:t>
      </w:r>
    </w:p>
    <w:p w14:paraId="0665B2F1"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068E732A"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Children under 16 may have the capacity to consent to some examinations, </w:t>
      </w:r>
      <w:proofErr w:type="gramStart"/>
      <w:r>
        <w:rPr>
          <w:rFonts w:ascii="Arial" w:hAnsi="Arial" w:cs="Arial"/>
          <w:color w:val="000000" w:themeColor="text1"/>
          <w:sz w:val="22"/>
          <w:szCs w:val="22"/>
        </w:rPr>
        <w:t>treatments</w:t>
      </w:r>
      <w:proofErr w:type="gramEnd"/>
      <w:r>
        <w:rPr>
          <w:rFonts w:ascii="Arial" w:hAnsi="Arial" w:cs="Arial"/>
          <w:color w:val="000000" w:themeColor="text1"/>
          <w:sz w:val="22"/>
          <w:szCs w:val="22"/>
        </w:rPr>
        <w:t xml:space="preserve"> and procedures but not others. Therefore, parental consent should be sought and recorded accurately when it is </w:t>
      </w:r>
      <w:proofErr w:type="gramStart"/>
      <w:r>
        <w:rPr>
          <w:rFonts w:ascii="Arial" w:hAnsi="Arial" w:cs="Arial"/>
          <w:color w:val="000000" w:themeColor="text1"/>
          <w:sz w:val="22"/>
          <w:szCs w:val="22"/>
        </w:rPr>
        <w:t>deemed</w:t>
      </w:r>
      <w:proofErr w:type="gramEnd"/>
      <w:r>
        <w:rPr>
          <w:rFonts w:ascii="Arial" w:hAnsi="Arial" w:cs="Arial"/>
          <w:color w:val="000000" w:themeColor="text1"/>
          <w:sz w:val="22"/>
          <w:szCs w:val="22"/>
        </w:rPr>
        <w:t xml:space="preserve"> they are not Gillick competent. Additionally, parental consent is not necessary when a child is receiving counselling or preventative care. </w:t>
      </w:r>
    </w:p>
    <w:p w14:paraId="21E4BACC"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5EDEE1D9"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It should be noted that whilst there is no lower age limit for Gillick competence or Fraser guidelines to be applied, it would rarely be appropriate or safe for a child who is under 13 years of age to consent to treatment without a parent’s involvement. </w:t>
      </w:r>
    </w:p>
    <w:p w14:paraId="278B3573" w14:textId="77777777" w:rsidR="00AA6B2F" w:rsidRDefault="00AA6B2F" w:rsidP="00AA6B2F">
      <w:pPr>
        <w:shd w:val="clear" w:color="auto" w:fill="FFFFFF"/>
        <w:rPr>
          <w:rFonts w:ascii="Arial" w:hAnsi="Arial" w:cs="Arial"/>
          <w:color w:val="000000" w:themeColor="text1"/>
          <w:sz w:val="22"/>
          <w:szCs w:val="22"/>
          <w:lang w:eastAsia="en-GB"/>
        </w:rPr>
      </w:pPr>
    </w:p>
    <w:p w14:paraId="228E3AAC" w14:textId="77777777" w:rsidR="00AA6B2F" w:rsidRDefault="00AA6B2F" w:rsidP="00AA6B2F">
      <w:pPr>
        <w:shd w:val="clear" w:color="auto" w:fill="FFFFFF"/>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Further detailed information on obtaining permission for children and young people can be sought from </w:t>
      </w:r>
      <w:hyperlink r:id="rId68" w:history="1">
        <w:r>
          <w:rPr>
            <w:rStyle w:val="Hyperlink"/>
            <w:rFonts w:ascii="Arial" w:hAnsi="Arial" w:cs="Arial"/>
            <w:lang w:eastAsia="en-GB"/>
          </w:rPr>
          <w:t xml:space="preserve">GP </w:t>
        </w:r>
        <w:proofErr w:type="spellStart"/>
        <w:r>
          <w:rPr>
            <w:rStyle w:val="Hyperlink"/>
            <w:rFonts w:ascii="Arial" w:hAnsi="Arial" w:cs="Arial"/>
            <w:lang w:eastAsia="en-GB"/>
          </w:rPr>
          <w:t>Mythbuster</w:t>
        </w:r>
        <w:proofErr w:type="spellEnd"/>
        <w:r>
          <w:rPr>
            <w:rStyle w:val="Hyperlink"/>
            <w:rFonts w:ascii="Arial" w:hAnsi="Arial" w:cs="Arial"/>
            <w:lang w:eastAsia="en-GB"/>
          </w:rPr>
          <w:t xml:space="preserve"> 8 – Gillick competence and Fraser guidelines</w:t>
        </w:r>
      </w:hyperlink>
      <w:r>
        <w:rPr>
          <w:rFonts w:ascii="Arial" w:hAnsi="Arial" w:cs="Arial"/>
          <w:color w:val="000000" w:themeColor="text1"/>
          <w:sz w:val="22"/>
          <w:szCs w:val="22"/>
          <w:lang w:eastAsia="en-GB"/>
        </w:rPr>
        <w:t xml:space="preserve">. Specific information detailing a child who withholds consent can be sought from </w:t>
      </w:r>
      <w:hyperlink r:id="rId69" w:history="1">
        <w:r>
          <w:rPr>
            <w:rStyle w:val="Hyperlink"/>
            <w:rFonts w:ascii="Arial" w:hAnsi="Arial" w:cs="Arial"/>
            <w:lang w:eastAsia="en-GB"/>
          </w:rPr>
          <w:t>medicalprotection.org</w:t>
        </w:r>
      </w:hyperlink>
      <w:r>
        <w:rPr>
          <w:rStyle w:val="Hyperlink"/>
          <w:rFonts w:ascii="Arial" w:hAnsi="Arial" w:cs="Arial"/>
          <w:lang w:eastAsia="en-GB"/>
        </w:rPr>
        <w:t>.</w:t>
      </w:r>
      <w:r>
        <w:rPr>
          <w:rFonts w:ascii="Arial" w:hAnsi="Arial" w:cs="Arial"/>
          <w:color w:val="000000" w:themeColor="text1"/>
          <w:sz w:val="22"/>
          <w:szCs w:val="22"/>
          <w:lang w:eastAsia="en-GB"/>
        </w:rPr>
        <w:t xml:space="preserve"> </w:t>
      </w:r>
    </w:p>
    <w:p w14:paraId="456D8D4F" w14:textId="77777777" w:rsidR="00AA6B2F" w:rsidRDefault="00AA6B2F" w:rsidP="00AA6B2F">
      <w:pPr>
        <w:pStyle w:val="Heading2"/>
        <w:spacing w:line="256" w:lineRule="auto"/>
        <w:rPr>
          <w:rFonts w:ascii="Arial" w:hAnsi="Arial" w:cs="Arial"/>
          <w:sz w:val="24"/>
          <w:szCs w:val="24"/>
          <w:lang w:val="en-GB"/>
        </w:rPr>
      </w:pPr>
      <w:bookmarkStart w:id="73" w:name="_Toc91750357"/>
      <w:r>
        <w:rPr>
          <w:rFonts w:ascii="Arial" w:hAnsi="Arial" w:cs="Arial"/>
          <w:sz w:val="24"/>
          <w:szCs w:val="24"/>
          <w:lang w:val="en-GB"/>
        </w:rPr>
        <w:t>Safeguarding concerns for under 16-year-olds</w:t>
      </w:r>
      <w:bookmarkEnd w:id="73"/>
    </w:p>
    <w:p w14:paraId="16D2EBB7" w14:textId="77777777" w:rsidR="00AA6B2F" w:rsidRDefault="00AA6B2F" w:rsidP="00AA6B2F">
      <w:pPr>
        <w:rPr>
          <w:rFonts w:ascii="Arial" w:hAnsi="Arial" w:cs="Arial"/>
          <w:sz w:val="22"/>
          <w:szCs w:val="22"/>
        </w:rPr>
      </w:pPr>
    </w:p>
    <w:p w14:paraId="34A9810E" w14:textId="77777777" w:rsidR="00AA6B2F" w:rsidRDefault="00AA6B2F" w:rsidP="00AA6B2F">
      <w:pPr>
        <w:rPr>
          <w:rFonts w:ascii="Arial" w:hAnsi="Arial" w:cs="Arial"/>
          <w:sz w:val="22"/>
          <w:szCs w:val="22"/>
        </w:rPr>
      </w:pPr>
      <w:r>
        <w:rPr>
          <w:rFonts w:ascii="Arial" w:hAnsi="Arial" w:cs="Arial"/>
          <w:sz w:val="22"/>
          <w:szCs w:val="22"/>
        </w:rPr>
        <w:t>If a young person under the age of 16 presents to a health care professional, then discloses a history raising safeguarding concerns:</w:t>
      </w:r>
    </w:p>
    <w:p w14:paraId="65C8CB0D" w14:textId="77777777" w:rsidR="00AA6B2F" w:rsidRDefault="00AA6B2F" w:rsidP="00AA6B2F">
      <w:pPr>
        <w:rPr>
          <w:rFonts w:ascii="Arial" w:hAnsi="Arial" w:cs="Arial"/>
          <w:sz w:val="22"/>
          <w:szCs w:val="22"/>
        </w:rPr>
      </w:pPr>
    </w:p>
    <w:p w14:paraId="6322B12D" w14:textId="77777777" w:rsidR="00AA6B2F" w:rsidRDefault="00AA6B2F" w:rsidP="00AA6B2F">
      <w:pPr>
        <w:pStyle w:val="ListParagraph"/>
        <w:numPr>
          <w:ilvl w:val="0"/>
          <w:numId w:val="31"/>
        </w:numPr>
        <w:rPr>
          <w:rFonts w:ascii="Arial" w:hAnsi="Arial" w:cs="Arial"/>
          <w:sz w:val="22"/>
          <w:szCs w:val="22"/>
        </w:rPr>
      </w:pPr>
      <w:r>
        <w:rPr>
          <w:rFonts w:ascii="Arial" w:hAnsi="Arial" w:cs="Arial"/>
          <w:sz w:val="22"/>
          <w:szCs w:val="22"/>
        </w:rPr>
        <w:t xml:space="preserve">If they are </w:t>
      </w:r>
      <w:r>
        <w:rPr>
          <w:rFonts w:ascii="Arial" w:hAnsi="Arial" w:cs="Arial"/>
          <w:sz w:val="22"/>
          <w:szCs w:val="22"/>
          <w:u w:val="single"/>
        </w:rPr>
        <w:t>not</w:t>
      </w:r>
      <w:r>
        <w:rPr>
          <w:rFonts w:ascii="Arial" w:hAnsi="Arial" w:cs="Arial"/>
          <w:sz w:val="22"/>
          <w:szCs w:val="22"/>
        </w:rPr>
        <w:t xml:space="preserve"> deemed to be Gillick competent, the health professional is obliged to raise the issue as a safeguarding concern and escalate their concerns through the safeguarding process</w:t>
      </w:r>
    </w:p>
    <w:p w14:paraId="44F3E410" w14:textId="77777777" w:rsidR="00AA6B2F" w:rsidRDefault="00AA6B2F" w:rsidP="00AA6B2F">
      <w:pPr>
        <w:pStyle w:val="ListParagraph"/>
        <w:rPr>
          <w:rFonts w:ascii="Arial" w:hAnsi="Arial" w:cs="Arial"/>
          <w:sz w:val="22"/>
          <w:szCs w:val="22"/>
        </w:rPr>
      </w:pPr>
    </w:p>
    <w:p w14:paraId="5B81160C" w14:textId="77777777" w:rsidR="00AA6B2F" w:rsidRDefault="00AA6B2F" w:rsidP="00AA6B2F">
      <w:pPr>
        <w:pStyle w:val="ListParagraph"/>
        <w:numPr>
          <w:ilvl w:val="0"/>
          <w:numId w:val="31"/>
        </w:numPr>
        <w:rPr>
          <w:rFonts w:ascii="Arial" w:hAnsi="Arial" w:cs="Arial"/>
          <w:sz w:val="22"/>
          <w:szCs w:val="22"/>
        </w:rPr>
      </w:pPr>
      <w:r>
        <w:rPr>
          <w:rFonts w:ascii="Arial" w:hAnsi="Arial" w:cs="Arial"/>
          <w:sz w:val="22"/>
          <w:szCs w:val="22"/>
        </w:rPr>
        <w:t xml:space="preserve">If they </w:t>
      </w:r>
      <w:r>
        <w:rPr>
          <w:rFonts w:ascii="Arial" w:hAnsi="Arial" w:cs="Arial"/>
          <w:sz w:val="22"/>
          <w:szCs w:val="22"/>
          <w:u w:val="single"/>
        </w:rPr>
        <w:t>are</w:t>
      </w:r>
      <w:r>
        <w:rPr>
          <w:rFonts w:ascii="Arial" w:hAnsi="Arial" w:cs="Arial"/>
          <w:sz w:val="22"/>
          <w:szCs w:val="22"/>
        </w:rPr>
        <w:t xml:space="preserve"> deemed to be Gillick competent and disclosure is considered essential to protect them from harm or to be in the public interest, the health professional should escalate concerns through the safeguarding processes</w:t>
      </w:r>
    </w:p>
    <w:p w14:paraId="0237BB35" w14:textId="77777777" w:rsidR="00AA6B2F" w:rsidRDefault="00AA6B2F" w:rsidP="00AA6B2F">
      <w:pPr>
        <w:pStyle w:val="ListParagraph"/>
        <w:rPr>
          <w:rFonts w:ascii="Arial" w:hAnsi="Arial" w:cs="Arial"/>
          <w:sz w:val="22"/>
          <w:szCs w:val="22"/>
        </w:rPr>
      </w:pPr>
    </w:p>
    <w:p w14:paraId="2F15827F" w14:textId="77777777" w:rsidR="00AA6B2F" w:rsidRDefault="00AA6B2F" w:rsidP="00AA6B2F">
      <w:pPr>
        <w:pStyle w:val="ListParagraph"/>
        <w:numPr>
          <w:ilvl w:val="0"/>
          <w:numId w:val="31"/>
        </w:numPr>
        <w:rPr>
          <w:rFonts w:ascii="Arial" w:hAnsi="Arial" w:cs="Arial"/>
          <w:sz w:val="22"/>
          <w:szCs w:val="22"/>
        </w:rPr>
      </w:pPr>
      <w:r>
        <w:rPr>
          <w:rFonts w:ascii="Arial" w:hAnsi="Arial" w:cs="Arial"/>
          <w:sz w:val="22"/>
          <w:szCs w:val="22"/>
        </w:rPr>
        <w:lastRenderedPageBreak/>
        <w:t xml:space="preserve">In </w:t>
      </w:r>
      <w:r>
        <w:rPr>
          <w:rFonts w:ascii="Arial" w:hAnsi="Arial" w:cs="Arial"/>
          <w:sz w:val="22"/>
          <w:szCs w:val="22"/>
          <w:u w:val="single"/>
        </w:rPr>
        <w:t>both</w:t>
      </w:r>
      <w:r>
        <w:rPr>
          <w:rFonts w:ascii="Arial" w:hAnsi="Arial" w:cs="Arial"/>
          <w:sz w:val="22"/>
          <w:szCs w:val="22"/>
        </w:rPr>
        <w:t xml:space="preserve"> cases, the health professional should inform the young person of this action, unless doing so could pose significant additional risk for their safe care.</w:t>
      </w:r>
    </w:p>
    <w:p w14:paraId="673C1C5A" w14:textId="77777777" w:rsidR="00AA6B2F" w:rsidRDefault="00AA6B2F" w:rsidP="00AA6B2F">
      <w:pPr>
        <w:rPr>
          <w:rFonts w:ascii="Arial" w:hAnsi="Arial" w:cs="Arial"/>
          <w:sz w:val="22"/>
          <w:szCs w:val="22"/>
        </w:rPr>
      </w:pPr>
    </w:p>
    <w:p w14:paraId="08188DDA" w14:textId="77777777" w:rsidR="00AA6B2F" w:rsidRDefault="00AA6B2F" w:rsidP="00AA6B2F">
      <w:pPr>
        <w:rPr>
          <w:rFonts w:ascii="Arial" w:hAnsi="Arial" w:cs="Arial"/>
          <w:sz w:val="22"/>
          <w:szCs w:val="22"/>
        </w:rPr>
      </w:pPr>
      <w:r>
        <w:rPr>
          <w:rFonts w:ascii="Arial" w:hAnsi="Arial" w:cs="Arial"/>
          <w:sz w:val="22"/>
          <w:szCs w:val="22"/>
        </w:rPr>
        <w:t>It is reasonable for the local authority or police to decide whether it is appropriate to inform the parents of the concerns raised. In some circumstances, this may not be in the best interest of the young person.</w:t>
      </w:r>
    </w:p>
    <w:p w14:paraId="31069FEA" w14:textId="77777777" w:rsidR="00AA6B2F" w:rsidRDefault="00AA6B2F" w:rsidP="00AA6B2F">
      <w:pPr>
        <w:rPr>
          <w:rFonts w:ascii="Arial" w:hAnsi="Arial" w:cs="Arial"/>
          <w:sz w:val="22"/>
          <w:szCs w:val="22"/>
        </w:rPr>
      </w:pPr>
    </w:p>
    <w:p w14:paraId="6631A4EE" w14:textId="77777777" w:rsidR="00AA6B2F" w:rsidRDefault="00AA6B2F" w:rsidP="00AA6B2F">
      <w:pPr>
        <w:rPr>
          <w:rFonts w:ascii="Arial" w:hAnsi="Arial" w:cs="Arial"/>
          <w:smallCaps/>
          <w:sz w:val="22"/>
          <w:szCs w:val="22"/>
        </w:rPr>
      </w:pPr>
      <w:r>
        <w:rPr>
          <w:rFonts w:ascii="Arial" w:hAnsi="Arial" w:cs="Arial"/>
          <w:color w:val="000000" w:themeColor="text1"/>
          <w:sz w:val="22"/>
          <w:szCs w:val="22"/>
          <w:lang w:eastAsia="en-GB"/>
        </w:rPr>
        <w:t>When it comes to sexual health, those under 13 are not legally able to consent to any sexual activity and therefore any information that such a person was sexually active would need to be acted on regardless of the results of the Gillick test.</w:t>
      </w:r>
    </w:p>
    <w:p w14:paraId="19911EE5" w14:textId="77777777" w:rsidR="00AA6B2F" w:rsidRDefault="00AA6B2F" w:rsidP="00AA6B2F">
      <w:pPr>
        <w:pStyle w:val="Heading2"/>
        <w:spacing w:line="256" w:lineRule="auto"/>
        <w:rPr>
          <w:rFonts w:ascii="Arial" w:hAnsi="Arial" w:cs="Arial"/>
          <w:sz w:val="24"/>
          <w:szCs w:val="24"/>
          <w:lang w:val="en-GB"/>
        </w:rPr>
      </w:pPr>
      <w:bookmarkStart w:id="74" w:name="_Toc91750358"/>
      <w:r>
        <w:rPr>
          <w:rFonts w:ascii="Arial" w:hAnsi="Arial" w:cs="Arial"/>
          <w:sz w:val="24"/>
          <w:szCs w:val="24"/>
          <w:lang w:val="en-GB"/>
        </w:rPr>
        <w:t>Contact details for young people</w:t>
      </w:r>
      <w:bookmarkEnd w:id="74"/>
    </w:p>
    <w:p w14:paraId="6F5B0843" w14:textId="77777777" w:rsidR="00AA6B2F" w:rsidRDefault="00AA6B2F" w:rsidP="00AA6B2F"/>
    <w:p w14:paraId="1258E0B6" w14:textId="7240DFA1" w:rsidR="00AA6B2F" w:rsidRDefault="00AA6B2F" w:rsidP="00AA6B2F">
      <w:pPr>
        <w:rPr>
          <w:rFonts w:ascii="Arial" w:hAnsi="Arial" w:cs="Arial"/>
          <w:sz w:val="22"/>
          <w:szCs w:val="22"/>
        </w:rPr>
      </w:pPr>
      <w:r>
        <w:rPr>
          <w:rFonts w:ascii="Arial" w:hAnsi="Arial" w:cs="Arial"/>
          <w:sz w:val="22"/>
          <w:szCs w:val="22"/>
        </w:rPr>
        <w:t xml:space="preserve">At Hall Green Surgery, we will consider requests from young persons who may wish for their personal contact details to be used to contact them as opposed to their parents or those who have parental control. </w:t>
      </w:r>
    </w:p>
    <w:p w14:paraId="76B16F05" w14:textId="77777777" w:rsidR="00AA6B2F" w:rsidRDefault="00AA6B2F" w:rsidP="00AA6B2F">
      <w:pPr>
        <w:shd w:val="clear" w:color="auto" w:fill="FFFFFF"/>
        <w:rPr>
          <w:rFonts w:ascii="Arial" w:eastAsia="Times New Roman" w:hAnsi="Arial" w:cs="Arial"/>
          <w:sz w:val="22"/>
          <w:szCs w:val="22"/>
        </w:rPr>
      </w:pPr>
    </w:p>
    <w:p w14:paraId="0FFD08E8" w14:textId="77777777" w:rsidR="00AA6B2F" w:rsidRDefault="00AA6B2F" w:rsidP="00AA6B2F">
      <w:pPr>
        <w:shd w:val="clear" w:color="auto" w:fill="FFFFFF"/>
        <w:rPr>
          <w:rFonts w:ascii="Arial" w:eastAsia="Times New Roman" w:hAnsi="Arial" w:cs="Arial"/>
          <w:sz w:val="22"/>
          <w:szCs w:val="22"/>
        </w:rPr>
      </w:pPr>
      <w:r>
        <w:rPr>
          <w:rFonts w:ascii="Arial" w:eastAsia="Times New Roman" w:hAnsi="Arial" w:cs="Arial"/>
          <w:sz w:val="22"/>
          <w:szCs w:val="22"/>
        </w:rPr>
        <w:t>In these instances, we will always consider the patient’s capacity and whether this is in their best interest.</w:t>
      </w:r>
    </w:p>
    <w:p w14:paraId="794B69F2" w14:textId="77777777" w:rsidR="00AA6B2F" w:rsidRDefault="00AA6B2F" w:rsidP="00AA6B2F">
      <w:pPr>
        <w:pStyle w:val="Heading2"/>
        <w:spacing w:line="256" w:lineRule="auto"/>
        <w:rPr>
          <w:rFonts w:ascii="Arial" w:hAnsi="Arial" w:cs="Arial"/>
          <w:sz w:val="24"/>
          <w:szCs w:val="24"/>
          <w:lang w:val="en-GB"/>
        </w:rPr>
      </w:pPr>
      <w:bookmarkStart w:id="75" w:name="_Toc91750359"/>
      <w:r>
        <w:rPr>
          <w:rFonts w:ascii="Arial" w:hAnsi="Arial" w:cs="Arial"/>
          <w:sz w:val="24"/>
          <w:szCs w:val="24"/>
          <w:lang w:val="en-GB"/>
        </w:rPr>
        <w:t>Parental consent</w:t>
      </w:r>
      <w:bookmarkEnd w:id="75"/>
    </w:p>
    <w:p w14:paraId="5D2C558F" w14:textId="77777777" w:rsidR="00AA6B2F" w:rsidRDefault="00AA6B2F" w:rsidP="00AA6B2F">
      <w:pPr>
        <w:pStyle w:val="NormalWeb"/>
        <w:shd w:val="clear" w:color="auto" w:fill="FFFFFF"/>
        <w:spacing w:before="0" w:beforeAutospacing="0" w:after="0" w:afterAutospacing="0"/>
        <w:rPr>
          <w:rFonts w:ascii="Arial" w:hAnsi="Arial" w:cs="Arial"/>
          <w:b/>
          <w:color w:val="000000" w:themeColor="text1"/>
        </w:rPr>
      </w:pPr>
    </w:p>
    <w:p w14:paraId="08DB377A"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16"/>
          <w:szCs w:val="16"/>
        </w:rPr>
      </w:pPr>
      <w:r>
        <w:rPr>
          <w:rFonts w:ascii="Arial" w:hAnsi="Arial" w:cs="Arial"/>
          <w:color w:val="000000" w:themeColor="text1"/>
          <w:sz w:val="22"/>
          <w:szCs w:val="22"/>
        </w:rPr>
        <w:t xml:space="preserve">In the case of immunisation, the consent of one adult is usually acceptable (Section 2(7) of the </w:t>
      </w:r>
      <w:hyperlink r:id="rId70" w:history="1">
        <w:r>
          <w:rPr>
            <w:rStyle w:val="Hyperlink"/>
            <w:rFonts w:ascii="Arial" w:hAnsi="Arial" w:cs="Arial"/>
          </w:rPr>
          <w:t>Children Act 1989</w:t>
        </w:r>
      </w:hyperlink>
      <w:r>
        <w:rPr>
          <w:rFonts w:ascii="Arial" w:hAnsi="Arial" w:cs="Arial"/>
          <w:color w:val="000000" w:themeColor="text1"/>
          <w:sz w:val="22"/>
          <w:szCs w:val="22"/>
        </w:rPr>
        <w:t>) but, if one adult consents and the other disagrees, the immunisation should not be carried out unless both adults with parental responsibility agree to the immunisation or there is court approval for the immunisation to be administered as it is in the best interests of the child.</w:t>
      </w:r>
    </w:p>
    <w:p w14:paraId="5CEC05B5"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16"/>
          <w:szCs w:val="16"/>
        </w:rPr>
      </w:pPr>
    </w:p>
    <w:p w14:paraId="65A3C80B"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The Department of Health and Social Security (DHSS) also states that immunisation is an ‘important decision’ and immunisations should not be administered if two adults with parental responsibility cannot reach an agreement. In such cases, it is advised that the decision be referred to the courts.</w:t>
      </w:r>
    </w:p>
    <w:p w14:paraId="573E3F49" w14:textId="77777777" w:rsidR="00AA6B2F" w:rsidRDefault="00AA6B2F" w:rsidP="00AA6B2F">
      <w:pPr>
        <w:shd w:val="clear" w:color="auto" w:fill="FFFFFF"/>
        <w:rPr>
          <w:rFonts w:ascii="Arial" w:hAnsi="Arial" w:cs="Arial"/>
          <w:color w:val="000000" w:themeColor="text1"/>
          <w:sz w:val="22"/>
          <w:szCs w:val="22"/>
          <w:lang w:eastAsia="en-GB"/>
        </w:rPr>
      </w:pPr>
    </w:p>
    <w:p w14:paraId="0A0EC5F0" w14:textId="55FBC1BA" w:rsidR="00AA6B2F" w:rsidRDefault="00AA6B2F" w:rsidP="00AA6B2F">
      <w:pPr>
        <w:shd w:val="clear" w:color="auto" w:fill="FFFFFF"/>
        <w:rPr>
          <w:rFonts w:ascii="Arial" w:hAnsi="Arial" w:cs="Arial"/>
          <w:color w:val="000000" w:themeColor="text1"/>
          <w:sz w:val="22"/>
          <w:szCs w:val="22"/>
          <w:lang w:eastAsia="en-GB"/>
        </w:rPr>
      </w:pPr>
      <w:r>
        <w:rPr>
          <w:rFonts w:ascii="Arial" w:hAnsi="Arial" w:cs="Arial"/>
          <w:color w:val="000000" w:themeColor="text1"/>
          <w:sz w:val="22"/>
          <w:szCs w:val="22"/>
          <w:lang w:eastAsia="en-GB"/>
        </w:rPr>
        <w:t>At Hall Green Surgery, should there be a dispute, the Partners and Practice Manager are to be consulted as to the most appropriate way to resolve the dispute. The advice of the clinician’s medical protection body should, where necessary, be obtained.</w:t>
      </w:r>
    </w:p>
    <w:p w14:paraId="73CC49AC" w14:textId="77777777" w:rsidR="00AA6B2F" w:rsidRDefault="00AA6B2F" w:rsidP="00AA6B2F">
      <w:pPr>
        <w:shd w:val="clear" w:color="auto" w:fill="FFFFFF"/>
        <w:rPr>
          <w:rFonts w:ascii="Arial" w:hAnsi="Arial" w:cs="Arial"/>
          <w:color w:val="000000" w:themeColor="text1"/>
          <w:sz w:val="22"/>
          <w:szCs w:val="22"/>
          <w:lang w:eastAsia="en-GB"/>
        </w:rPr>
      </w:pPr>
    </w:p>
    <w:p w14:paraId="7F33423E" w14:textId="77777777" w:rsidR="00AA6B2F" w:rsidRDefault="00AA6B2F" w:rsidP="00AA6B2F">
      <w:pPr>
        <w:shd w:val="clear" w:color="auto" w:fill="FFFFFF"/>
        <w:rPr>
          <w:rFonts w:ascii="Arial" w:eastAsia="Times New Roman" w:hAnsi="Arial" w:cs="Arial"/>
          <w:color w:val="212121"/>
          <w:sz w:val="22"/>
          <w:szCs w:val="22"/>
          <w:lang w:eastAsia="en-GB"/>
        </w:rPr>
      </w:pPr>
      <w:r>
        <w:rPr>
          <w:rFonts w:ascii="Arial" w:hAnsi="Arial" w:cs="Arial"/>
          <w:color w:val="000000" w:themeColor="text1"/>
          <w:sz w:val="22"/>
          <w:szCs w:val="22"/>
          <w:lang w:eastAsia="en-GB"/>
        </w:rPr>
        <w:t xml:space="preserve">Specific information detailing parental withholding consent can be sought from </w:t>
      </w:r>
      <w:hyperlink r:id="rId71" w:history="1">
        <w:r>
          <w:rPr>
            <w:rStyle w:val="Hyperlink"/>
            <w:rFonts w:ascii="Arial" w:hAnsi="Arial" w:cs="Arial"/>
            <w:lang w:eastAsia="en-GB"/>
          </w:rPr>
          <w:t>medicalprotection.org</w:t>
        </w:r>
      </w:hyperlink>
      <w:r>
        <w:rPr>
          <w:rFonts w:ascii="Arial" w:hAnsi="Arial" w:cs="Arial"/>
          <w:color w:val="000000" w:themeColor="text1"/>
          <w:sz w:val="22"/>
          <w:szCs w:val="22"/>
          <w:lang w:eastAsia="en-GB"/>
        </w:rPr>
        <w:t xml:space="preserve">. </w:t>
      </w:r>
    </w:p>
    <w:p w14:paraId="6C8140FA" w14:textId="77777777" w:rsidR="00AA6B2F" w:rsidRDefault="00AA6B2F" w:rsidP="00AA6B2F">
      <w:pPr>
        <w:pStyle w:val="Heading2"/>
        <w:spacing w:line="256" w:lineRule="auto"/>
        <w:rPr>
          <w:rFonts w:ascii="Arial" w:hAnsi="Arial" w:cs="Arial"/>
          <w:sz w:val="24"/>
          <w:szCs w:val="24"/>
          <w:lang w:val="en-GB"/>
        </w:rPr>
      </w:pPr>
      <w:bookmarkStart w:id="76" w:name="_Toc91750360"/>
      <w:r>
        <w:rPr>
          <w:rFonts w:ascii="Arial" w:hAnsi="Arial" w:cs="Arial"/>
          <w:sz w:val="24"/>
          <w:szCs w:val="24"/>
          <w:lang w:val="en-GB"/>
        </w:rPr>
        <w:t>Immunisations</w:t>
      </w:r>
      <w:bookmarkEnd w:id="76"/>
    </w:p>
    <w:p w14:paraId="35A6ABC9" w14:textId="77777777" w:rsidR="00AA6B2F" w:rsidRDefault="00AA6B2F" w:rsidP="00AA6B2F">
      <w:pPr>
        <w:pStyle w:val="NormalWeb"/>
        <w:rPr>
          <w:rFonts w:ascii="Arial" w:hAnsi="Arial" w:cs="Arial"/>
          <w:sz w:val="22"/>
          <w:szCs w:val="22"/>
        </w:rPr>
      </w:pPr>
      <w:r>
        <w:rPr>
          <w:rFonts w:ascii="Arial" w:hAnsi="Arial" w:cs="Arial"/>
          <w:color w:val="000000" w:themeColor="text1"/>
          <w:sz w:val="22"/>
          <w:szCs w:val="22"/>
        </w:rPr>
        <w:t xml:space="preserve">The general principles of consent apply to the administering of immunisations by either a GP or nurse. </w:t>
      </w:r>
      <w:r>
        <w:rPr>
          <w:rFonts w:ascii="Arial" w:hAnsi="Arial" w:cs="Arial"/>
          <w:sz w:val="22"/>
          <w:szCs w:val="22"/>
        </w:rPr>
        <w:t xml:space="preserve">The process of obtaining consent should be the same whether the consent obtained is written, verbal or implied (e.g., holding out an arm to be vaccinated). </w:t>
      </w:r>
    </w:p>
    <w:p w14:paraId="56190653" w14:textId="77777777" w:rsidR="00AA6B2F" w:rsidRDefault="00AA6B2F" w:rsidP="00AA6B2F">
      <w:pPr>
        <w:pStyle w:val="NormalWeb"/>
        <w:rPr>
          <w:rFonts w:ascii="Arial" w:hAnsi="Arial" w:cs="Arial"/>
          <w:sz w:val="22"/>
          <w:szCs w:val="22"/>
        </w:rPr>
      </w:pPr>
      <w:r>
        <w:rPr>
          <w:rFonts w:ascii="Arial" w:hAnsi="Arial" w:cs="Arial"/>
          <w:color w:val="000000" w:themeColor="text1"/>
          <w:sz w:val="22"/>
          <w:szCs w:val="22"/>
        </w:rPr>
        <w:t>In accordance with the Green Book</w:t>
      </w:r>
      <w:r>
        <w:rPr>
          <w:rStyle w:val="FootnoteReference"/>
          <w:rFonts w:ascii="Arial" w:hAnsi="Arial" w:cs="Arial"/>
          <w:color w:val="000000" w:themeColor="text1"/>
        </w:rPr>
        <w:footnoteReference w:id="5"/>
      </w:r>
      <w:r>
        <w:rPr>
          <w:rFonts w:ascii="Arial" w:hAnsi="Arial" w:cs="Arial"/>
          <w:color w:val="000000" w:themeColor="text1"/>
          <w:sz w:val="22"/>
          <w:szCs w:val="22"/>
        </w:rPr>
        <w:t>: ‘T</w:t>
      </w:r>
      <w:r>
        <w:rPr>
          <w:rFonts w:ascii="Arial" w:hAnsi="Arial" w:cs="Arial"/>
          <w:sz w:val="22"/>
          <w:szCs w:val="22"/>
        </w:rPr>
        <w:t xml:space="preserve">here is no legal requirement for consent to immunisation to be in writing and a signature on a consent form is not conclusive proof that </w:t>
      </w:r>
      <w:r>
        <w:rPr>
          <w:rFonts w:ascii="Arial" w:hAnsi="Arial" w:cs="Arial"/>
          <w:sz w:val="22"/>
          <w:szCs w:val="22"/>
        </w:rPr>
        <w:lastRenderedPageBreak/>
        <w:t xml:space="preserve">consent has been given, but serves to record the decision and the discussions that have taken place with the patient or the person giving consent on a child’s behalf’. </w:t>
      </w:r>
    </w:p>
    <w:p w14:paraId="191482DC" w14:textId="77777777" w:rsidR="00AA6B2F" w:rsidRDefault="00AA6B2F" w:rsidP="00AA6B2F">
      <w:pPr>
        <w:pStyle w:val="NormalWeb"/>
        <w:rPr>
          <w:rFonts w:ascii="Arial" w:hAnsi="Arial" w:cs="Arial"/>
          <w:sz w:val="22"/>
          <w:szCs w:val="22"/>
        </w:rPr>
      </w:pPr>
      <w:r>
        <w:rPr>
          <w:rFonts w:ascii="Arial" w:hAnsi="Arial" w:cs="Arial"/>
          <w:sz w:val="22"/>
          <w:szCs w:val="22"/>
        </w:rPr>
        <w:t xml:space="preserve">For a patient requiring a course of vaccinations, consent must be obtained each time they attend to have a vaccination.  </w:t>
      </w:r>
    </w:p>
    <w:p w14:paraId="42ECEA31" w14:textId="77777777" w:rsidR="00AA6B2F" w:rsidRDefault="00AA6B2F" w:rsidP="00AA6B2F">
      <w:pPr>
        <w:pStyle w:val="Heading2"/>
        <w:spacing w:line="256" w:lineRule="auto"/>
        <w:rPr>
          <w:rFonts w:ascii="Arial" w:hAnsi="Arial" w:cs="Arial"/>
          <w:sz w:val="24"/>
          <w:szCs w:val="24"/>
          <w:lang w:val="en-GB"/>
        </w:rPr>
      </w:pPr>
      <w:bookmarkStart w:id="77" w:name="_Toc91750361"/>
      <w:r>
        <w:rPr>
          <w:rFonts w:ascii="Arial" w:hAnsi="Arial" w:cs="Arial"/>
          <w:sz w:val="24"/>
          <w:szCs w:val="24"/>
          <w:lang w:val="en-GB"/>
        </w:rPr>
        <w:t>Lack of mental capacity</w:t>
      </w:r>
      <w:bookmarkEnd w:id="77"/>
    </w:p>
    <w:p w14:paraId="15E14374" w14:textId="77777777" w:rsidR="00AA6B2F" w:rsidRDefault="00AA6B2F" w:rsidP="00AA6B2F"/>
    <w:p w14:paraId="7DE570F5"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Patients who do not have the capacity to make an informed, voluntary decision are protected under the </w:t>
      </w:r>
      <w:hyperlink r:id="rId72" w:history="1">
        <w:r>
          <w:rPr>
            <w:rStyle w:val="Hyperlink"/>
            <w:rFonts w:ascii="Arial" w:hAnsi="Arial" w:cs="Arial"/>
          </w:rPr>
          <w:t>Mental Health Act (MHA) 2005</w:t>
        </w:r>
      </w:hyperlink>
      <w:r>
        <w:rPr>
          <w:rFonts w:ascii="Arial" w:hAnsi="Arial" w:cs="Arial"/>
          <w:color w:val="000000" w:themeColor="text1"/>
          <w:sz w:val="22"/>
          <w:szCs w:val="22"/>
        </w:rPr>
        <w:t>.  The MHA only applies to those patients living in England and Wales.</w:t>
      </w:r>
    </w:p>
    <w:p w14:paraId="662B7391" w14:textId="77777777" w:rsidR="00AA6B2F" w:rsidRDefault="00AA6B2F" w:rsidP="00AA6B2F">
      <w:pPr>
        <w:pStyle w:val="NormalWeb"/>
        <w:rPr>
          <w:rFonts w:ascii="Arial" w:hAnsi="Arial" w:cs="Arial"/>
          <w:sz w:val="22"/>
          <w:szCs w:val="22"/>
        </w:rPr>
      </w:pPr>
      <w:r>
        <w:rPr>
          <w:rFonts w:ascii="Arial" w:hAnsi="Arial" w:cs="Arial"/>
          <w:color w:val="000000" w:themeColor="text1"/>
          <w:sz w:val="22"/>
          <w:szCs w:val="22"/>
        </w:rPr>
        <w:t xml:space="preserve">A person is defined as lacking capacity if ‘they are </w:t>
      </w:r>
      <w:r>
        <w:rPr>
          <w:rFonts w:ascii="Arial" w:hAnsi="Arial" w:cs="Arial"/>
          <w:sz w:val="22"/>
          <w:szCs w:val="22"/>
        </w:rPr>
        <w:t xml:space="preserve">unable to make a decision for themselves because of an impairment or disturbance in the functioning of their mind or brain’.  </w:t>
      </w:r>
    </w:p>
    <w:p w14:paraId="2BFD7897" w14:textId="77777777" w:rsidR="00AA6B2F" w:rsidRDefault="00AA6B2F" w:rsidP="00AA6B2F">
      <w:pPr>
        <w:pStyle w:val="NormalWeb"/>
        <w:rPr>
          <w:rFonts w:ascii="Arial" w:hAnsi="Arial" w:cs="Arial"/>
          <w:sz w:val="22"/>
          <w:szCs w:val="22"/>
        </w:rPr>
      </w:pPr>
      <w:r>
        <w:rPr>
          <w:rFonts w:ascii="Arial" w:hAnsi="Arial" w:cs="Arial"/>
          <w:sz w:val="22"/>
          <w:szCs w:val="22"/>
        </w:rPr>
        <w:t>Patients lacking capacity have the following rights:</w:t>
      </w:r>
    </w:p>
    <w:p w14:paraId="3607F673"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All decisions will be made in the best interest of the patient</w:t>
      </w:r>
    </w:p>
    <w:p w14:paraId="6A865917"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3F14B3DA"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The liberty of a patient will only be taken in very specific situations. This is referred to as a deprivation of liberty and will only be used if it is the least restrictive way of keeping a patient safe or ensuring the correct medical treatment is provided</w:t>
      </w:r>
    </w:p>
    <w:p w14:paraId="18448CA3"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18D405E9"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To have support from an advocate. This is someone who acts on the patient’s behalf but does not have legal authority to make personal or financial decisions on behalf of the patient</w:t>
      </w:r>
    </w:p>
    <w:p w14:paraId="18F37411"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4EB88166"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To have a deputy appointed by the court to make personal or financial decisions for the patient</w:t>
      </w:r>
    </w:p>
    <w:p w14:paraId="1748FC00"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65F84C96"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To receive guidance from the Court of Protection </w:t>
      </w:r>
    </w:p>
    <w:p w14:paraId="019F065D" w14:textId="77777777" w:rsidR="00AA6B2F" w:rsidRDefault="00AA6B2F" w:rsidP="00AA6B2F">
      <w:pPr>
        <w:pStyle w:val="NormalWeb"/>
        <w:rPr>
          <w:rFonts w:ascii="Arial" w:hAnsi="Arial" w:cs="Arial"/>
          <w:sz w:val="22"/>
          <w:szCs w:val="22"/>
        </w:rPr>
      </w:pPr>
      <w:r>
        <w:rPr>
          <w:rFonts w:ascii="Arial" w:hAnsi="Arial" w:cs="Arial"/>
          <w:sz w:val="22"/>
          <w:szCs w:val="22"/>
        </w:rPr>
        <w:t xml:space="preserve">The MHA 2005 requires that appropriate steps </w:t>
      </w:r>
      <w:proofErr w:type="gramStart"/>
      <w:r>
        <w:rPr>
          <w:rFonts w:ascii="Arial" w:hAnsi="Arial" w:cs="Arial"/>
          <w:sz w:val="22"/>
          <w:szCs w:val="22"/>
        </w:rPr>
        <w:t>are</w:t>
      </w:r>
      <w:proofErr w:type="gramEnd"/>
      <w:r>
        <w:rPr>
          <w:rFonts w:ascii="Arial" w:hAnsi="Arial" w:cs="Arial"/>
          <w:sz w:val="22"/>
          <w:szCs w:val="22"/>
        </w:rPr>
        <w:t xml:space="preserve"> taken to enable the patient to make the decision for themselves. These include:</w:t>
      </w:r>
    </w:p>
    <w:p w14:paraId="4CC3D887"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Providing relevant information, including choice regarding alternative treatment/procedures</w:t>
      </w:r>
    </w:p>
    <w:p w14:paraId="10569C79" w14:textId="77777777" w:rsidR="00AA6B2F" w:rsidRDefault="00AA6B2F" w:rsidP="00AA6B2F">
      <w:pPr>
        <w:pStyle w:val="NormalWeb"/>
        <w:shd w:val="clear" w:color="auto" w:fill="FFFFFF"/>
        <w:spacing w:before="0" w:beforeAutospacing="0" w:after="0" w:afterAutospacing="0"/>
        <w:ind w:left="720"/>
        <w:rPr>
          <w:rFonts w:ascii="Arial" w:hAnsi="Arial" w:cs="Arial"/>
          <w:color w:val="000000" w:themeColor="text1"/>
          <w:sz w:val="22"/>
          <w:szCs w:val="22"/>
        </w:rPr>
      </w:pPr>
    </w:p>
    <w:p w14:paraId="65BD7C56"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Communicating in an appropriate way, i.e. presenting information in a different manner so it is easier for the patient to understand</w:t>
      </w:r>
    </w:p>
    <w:p w14:paraId="3157D9CB"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124AFF77"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Putting the patient at ease, discussing the matter when the patient feels confident to do so, such as in the morning or afternoon</w:t>
      </w:r>
    </w:p>
    <w:p w14:paraId="62372CFA" w14:textId="77777777" w:rsidR="00AA6B2F" w:rsidRDefault="00AA6B2F" w:rsidP="00AA6B2F">
      <w:pPr>
        <w:pStyle w:val="NormalWeb"/>
        <w:shd w:val="clear" w:color="auto" w:fill="FFFFFF"/>
        <w:spacing w:before="0" w:beforeAutospacing="0" w:after="0" w:afterAutospacing="0"/>
        <w:rPr>
          <w:rFonts w:ascii="Arial" w:hAnsi="Arial" w:cs="Arial"/>
          <w:color w:val="000000" w:themeColor="text1"/>
          <w:sz w:val="22"/>
          <w:szCs w:val="22"/>
        </w:rPr>
      </w:pPr>
    </w:p>
    <w:p w14:paraId="79C56E39" w14:textId="77777777" w:rsidR="00AA6B2F" w:rsidRDefault="00AA6B2F" w:rsidP="00AA6B2F">
      <w:pPr>
        <w:pStyle w:val="NormalWeb"/>
        <w:numPr>
          <w:ilvl w:val="0"/>
          <w:numId w:val="28"/>
        </w:numPr>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Seeking additional support so the patient has a friend or relative who </w:t>
      </w:r>
      <w:proofErr w:type="gramStart"/>
      <w:r>
        <w:rPr>
          <w:rFonts w:ascii="Arial" w:hAnsi="Arial" w:cs="Arial"/>
          <w:color w:val="000000" w:themeColor="text1"/>
          <w:sz w:val="22"/>
          <w:szCs w:val="22"/>
        </w:rPr>
        <w:t>is able to</w:t>
      </w:r>
      <w:proofErr w:type="gramEnd"/>
      <w:r>
        <w:rPr>
          <w:rFonts w:ascii="Arial" w:hAnsi="Arial" w:cs="Arial"/>
          <w:color w:val="000000" w:themeColor="text1"/>
          <w:sz w:val="22"/>
          <w:szCs w:val="22"/>
        </w:rPr>
        <w:t xml:space="preserve"> help them to understand and make a choice</w:t>
      </w:r>
    </w:p>
    <w:p w14:paraId="26228721" w14:textId="77777777" w:rsidR="00AA6B2F" w:rsidRDefault="00AA6B2F" w:rsidP="00AA6B2F">
      <w:pPr>
        <w:pStyle w:val="NormalWeb"/>
        <w:rPr>
          <w:rFonts w:ascii="Arial" w:hAnsi="Arial" w:cs="Arial"/>
          <w:sz w:val="22"/>
          <w:szCs w:val="22"/>
        </w:rPr>
      </w:pPr>
      <w:r>
        <w:rPr>
          <w:rFonts w:ascii="Arial" w:hAnsi="Arial" w:cs="Arial"/>
          <w:sz w:val="22"/>
          <w:szCs w:val="22"/>
        </w:rPr>
        <w:t xml:space="preserve">For detailed information relating to the deprivation of liberty, refer to the </w:t>
      </w:r>
      <w:hyperlink r:id="rId73" w:history="1">
        <w:r>
          <w:rPr>
            <w:rStyle w:val="Hyperlink"/>
            <w:rFonts w:ascii="Arial" w:hAnsi="Arial" w:cs="Arial"/>
          </w:rPr>
          <w:t>Mental capacity act policy</w:t>
        </w:r>
      </w:hyperlink>
      <w:r>
        <w:rPr>
          <w:rFonts w:ascii="Arial" w:hAnsi="Arial" w:cs="Arial"/>
          <w:sz w:val="22"/>
          <w:szCs w:val="22"/>
        </w:rPr>
        <w:t xml:space="preserve"> or </w:t>
      </w:r>
      <w:hyperlink r:id="rId74" w:history="1">
        <w:r>
          <w:rPr>
            <w:rStyle w:val="Hyperlink"/>
            <w:rFonts w:ascii="Arial" w:hAnsi="Arial" w:cs="Arial"/>
          </w:rPr>
          <w:t>www.mind.org.uk</w:t>
        </w:r>
      </w:hyperlink>
      <w:r>
        <w:rPr>
          <w:rStyle w:val="Hyperlink"/>
          <w:rFonts w:ascii="Arial" w:hAnsi="Arial" w:cs="Arial"/>
        </w:rPr>
        <w:t>.</w:t>
      </w:r>
    </w:p>
    <w:p w14:paraId="48F7493D" w14:textId="77777777" w:rsidR="00AA6B2F" w:rsidRDefault="00AA6B2F" w:rsidP="00AA6B2F">
      <w:pPr>
        <w:pStyle w:val="Heading2"/>
        <w:spacing w:line="256" w:lineRule="auto"/>
        <w:ind w:left="578" w:hanging="578"/>
        <w:rPr>
          <w:rFonts w:ascii="Arial" w:hAnsi="Arial" w:cs="Arial"/>
          <w:sz w:val="24"/>
          <w:szCs w:val="24"/>
          <w:lang w:val="en-GB"/>
        </w:rPr>
      </w:pPr>
      <w:bookmarkStart w:id="78" w:name="_Toc91750362"/>
      <w:r>
        <w:rPr>
          <w:rFonts w:ascii="Arial" w:hAnsi="Arial" w:cs="Arial"/>
          <w:sz w:val="24"/>
          <w:szCs w:val="24"/>
          <w:lang w:val="en-GB"/>
        </w:rPr>
        <w:lastRenderedPageBreak/>
        <w:t>Summary</w:t>
      </w:r>
      <w:bookmarkEnd w:id="78"/>
    </w:p>
    <w:p w14:paraId="51C18B17" w14:textId="77777777" w:rsidR="00AA6B2F" w:rsidRDefault="00AA6B2F" w:rsidP="00AA6B2F">
      <w:pPr>
        <w:pStyle w:val="NormalWeb"/>
        <w:rPr>
          <w:rFonts w:ascii="Arial" w:hAnsi="Arial" w:cs="Arial"/>
          <w:sz w:val="22"/>
          <w:szCs w:val="22"/>
        </w:rPr>
      </w:pPr>
      <w:r>
        <w:rPr>
          <w:rFonts w:ascii="Arial" w:hAnsi="Arial" w:cs="Arial"/>
          <w:sz w:val="22"/>
          <w:szCs w:val="22"/>
        </w:rPr>
        <w:t xml:space="preserve">Patients have a moral and legal right to determine what happens to their own bodies.  Seeking and obtaining valid consent is a fundamental process in healthcare; it is the patient’s agreement for the clinician to provide care. </w:t>
      </w:r>
    </w:p>
    <w:p w14:paraId="0901DAB5" w14:textId="71504BDA" w:rsidR="00AA6B2F" w:rsidRDefault="00AA6B2F" w:rsidP="00AA6B2F">
      <w:pPr>
        <w:pStyle w:val="NormalWeb"/>
        <w:rPr>
          <w:rFonts w:ascii="Arial" w:hAnsi="Arial" w:cs="Arial"/>
          <w:sz w:val="22"/>
          <w:szCs w:val="22"/>
        </w:rPr>
      </w:pPr>
      <w:r>
        <w:rPr>
          <w:rFonts w:ascii="Arial" w:hAnsi="Arial" w:cs="Arial"/>
          <w:sz w:val="22"/>
          <w:szCs w:val="22"/>
        </w:rPr>
        <w:t>All staff at Hall Green Surgery are to adhere to this policy and, should doubt arise, they are to seek guidance from Maria Lawton.</w:t>
      </w:r>
    </w:p>
    <w:p w14:paraId="27301411" w14:textId="77777777" w:rsidR="00AA6B2F" w:rsidRDefault="00AA6B2F" w:rsidP="00AA6B2F">
      <w:pPr>
        <w:rPr>
          <w:rFonts w:ascii="Arial" w:hAnsi="Arial" w:cs="Arial"/>
          <w:sz w:val="22"/>
          <w:szCs w:val="22"/>
          <w:lang w:eastAsia="en-GB"/>
        </w:rPr>
      </w:pPr>
      <w:r>
        <w:rPr>
          <w:rFonts w:ascii="Arial" w:hAnsi="Arial" w:cs="Arial"/>
          <w:sz w:val="22"/>
          <w:szCs w:val="22"/>
        </w:rPr>
        <w:br w:type="page"/>
      </w:r>
    </w:p>
    <w:p w14:paraId="7A7EA07F" w14:textId="77777777" w:rsidR="00AA6B2F" w:rsidRDefault="00AA6B2F" w:rsidP="00AA6B2F">
      <w:pPr>
        <w:pStyle w:val="Heading1"/>
        <w:keepLines/>
        <w:numPr>
          <w:ilvl w:val="0"/>
          <w:numId w:val="0"/>
        </w:numPr>
        <w:pBdr>
          <w:bottom w:val="single" w:sz="4" w:space="1" w:color="595959" w:themeColor="text1" w:themeTint="A6"/>
        </w:pBdr>
        <w:spacing w:before="360" w:after="160" w:line="256" w:lineRule="auto"/>
        <w:ind w:left="432" w:hanging="432"/>
        <w:rPr>
          <w:sz w:val="28"/>
          <w:szCs w:val="28"/>
        </w:rPr>
      </w:pPr>
      <w:bookmarkStart w:id="79" w:name="_Annex_A_–"/>
      <w:bookmarkStart w:id="80" w:name="_Toc91750363"/>
      <w:bookmarkEnd w:id="79"/>
      <w:r>
        <w:rPr>
          <w:sz w:val="28"/>
          <w:szCs w:val="28"/>
        </w:rPr>
        <w:lastRenderedPageBreak/>
        <w:t>Annex A – Consent form</w:t>
      </w:r>
      <w:bookmarkEnd w:id="80"/>
    </w:p>
    <w:p w14:paraId="66E01D8C" w14:textId="77777777" w:rsidR="00AA6B2F" w:rsidRDefault="00AA6B2F" w:rsidP="00AA6B2F">
      <w:pPr>
        <w:pStyle w:val="NormalWeb"/>
        <w:spacing w:before="0" w:beforeAutospacing="0" w:after="0" w:afterAutospacing="0"/>
        <w:rPr>
          <w:rFonts w:asciiTheme="minorHAnsi" w:hAnsiTheme="minorHAnsi"/>
          <w:bCs/>
          <w:sz w:val="4"/>
          <w:szCs w:val="4"/>
        </w:rPr>
      </w:pPr>
    </w:p>
    <w:tbl>
      <w:tblPr>
        <w:tblStyle w:val="TableGrid"/>
        <w:tblW w:w="0" w:type="auto"/>
        <w:tblLook w:val="04A0" w:firstRow="1" w:lastRow="0" w:firstColumn="1" w:lastColumn="0" w:noHBand="0" w:noVBand="1"/>
      </w:tblPr>
      <w:tblGrid>
        <w:gridCol w:w="2250"/>
        <w:gridCol w:w="2254"/>
        <w:gridCol w:w="2295"/>
        <w:gridCol w:w="2211"/>
      </w:tblGrid>
      <w:tr w:rsidR="00AA6B2F" w14:paraId="74C369CA" w14:textId="77777777" w:rsidTr="00AA6B2F">
        <w:trPr>
          <w:trHeight w:val="278"/>
        </w:trPr>
        <w:tc>
          <w:tcPr>
            <w:tcW w:w="9010" w:type="dxa"/>
            <w:gridSpan w:val="4"/>
            <w:tcBorders>
              <w:top w:val="single" w:sz="4" w:space="0" w:color="auto"/>
              <w:left w:val="single" w:sz="4" w:space="0" w:color="auto"/>
              <w:bottom w:val="single" w:sz="4" w:space="0" w:color="auto"/>
              <w:right w:val="single" w:sz="4" w:space="0" w:color="auto"/>
            </w:tcBorders>
            <w:shd w:val="clear" w:color="auto" w:fill="4472C4" w:themeFill="accent1"/>
          </w:tcPr>
          <w:p w14:paraId="3EDA75FA" w14:textId="77777777" w:rsidR="00AA6B2F" w:rsidRDefault="00AA6B2F">
            <w:pPr>
              <w:pStyle w:val="NormalWeb"/>
              <w:spacing w:before="0" w:beforeAutospacing="0" w:after="0" w:afterAutospacing="0"/>
              <w:jc w:val="center"/>
              <w:rPr>
                <w:rFonts w:ascii="Arial" w:hAnsi="Arial" w:cs="Arial"/>
                <w:b/>
                <w:bCs/>
                <w:color w:val="FFFFFF" w:themeColor="background1"/>
                <w:sz w:val="28"/>
                <w:szCs w:val="28"/>
                <w:lang w:eastAsia="en-US"/>
              </w:rPr>
            </w:pPr>
            <w:r>
              <w:rPr>
                <w:rFonts w:ascii="Arial" w:hAnsi="Arial" w:cs="Arial"/>
                <w:b/>
                <w:bCs/>
                <w:color w:val="FFFFFF" w:themeColor="background1"/>
                <w:sz w:val="28"/>
                <w:szCs w:val="28"/>
                <w:lang w:eastAsia="en-US"/>
              </w:rPr>
              <w:t>[</w:t>
            </w:r>
            <w:r>
              <w:rPr>
                <w:rFonts w:ascii="Arial" w:hAnsi="Arial" w:cs="Arial"/>
                <w:b/>
                <w:bCs/>
                <w:color w:val="FFFFFF" w:themeColor="background1"/>
                <w:sz w:val="28"/>
                <w:szCs w:val="28"/>
                <w:shd w:val="clear" w:color="auto" w:fill="FFFF00"/>
                <w:lang w:eastAsia="en-US"/>
              </w:rPr>
              <w:t>INSERT ORGANISATION</w:t>
            </w:r>
            <w:r>
              <w:rPr>
                <w:rFonts w:ascii="Arial" w:hAnsi="Arial" w:cs="Arial"/>
                <w:b/>
                <w:bCs/>
                <w:color w:val="FFFFFF" w:themeColor="background1"/>
                <w:sz w:val="28"/>
                <w:szCs w:val="28"/>
                <w:lang w:eastAsia="en-US"/>
              </w:rPr>
              <w:t>] CONSENT FORM</w:t>
            </w:r>
          </w:p>
          <w:p w14:paraId="5DECC3CC" w14:textId="77777777" w:rsidR="00AA6B2F" w:rsidRDefault="00AA6B2F">
            <w:pPr>
              <w:pStyle w:val="NormalWeb"/>
              <w:spacing w:before="0" w:beforeAutospacing="0" w:after="0" w:afterAutospacing="0"/>
              <w:jc w:val="center"/>
              <w:rPr>
                <w:rFonts w:ascii="Arial" w:hAnsi="Arial" w:cs="Arial"/>
                <w:b/>
                <w:bCs/>
                <w:color w:val="FFFFFF" w:themeColor="background1"/>
                <w:sz w:val="12"/>
                <w:szCs w:val="12"/>
                <w:lang w:eastAsia="en-US"/>
              </w:rPr>
            </w:pPr>
          </w:p>
          <w:p w14:paraId="5F2049FD" w14:textId="77777777" w:rsidR="00AA6B2F" w:rsidRDefault="00AA6B2F">
            <w:pPr>
              <w:pStyle w:val="NormalWeb"/>
              <w:spacing w:before="0" w:beforeAutospacing="0" w:after="0" w:afterAutospacing="0"/>
              <w:jc w:val="center"/>
              <w:rPr>
                <w:rFonts w:ascii="Arial" w:hAnsi="Arial" w:cs="Arial"/>
                <w:b/>
                <w:bCs/>
                <w:color w:val="FFFFFF" w:themeColor="background1"/>
                <w:lang w:eastAsia="en-US"/>
              </w:rPr>
            </w:pPr>
            <w:r>
              <w:rPr>
                <w:rFonts w:ascii="Arial" w:hAnsi="Arial" w:cs="Arial"/>
                <w:b/>
                <w:bCs/>
                <w:color w:val="FFFFFF" w:themeColor="background1"/>
                <w:sz w:val="22"/>
                <w:szCs w:val="22"/>
                <w:lang w:eastAsia="en-US"/>
              </w:rPr>
              <w:t xml:space="preserve">PATIENT AGREEMENT TO INVESTIGATION OR TREATMENT </w:t>
            </w:r>
            <w:r>
              <w:rPr>
                <w:rFonts w:ascii="Arial" w:hAnsi="Arial" w:cs="Arial"/>
                <w:b/>
                <w:color w:val="FFFFFF" w:themeColor="background1"/>
                <w:sz w:val="22"/>
                <w:szCs w:val="22"/>
                <w:lang w:eastAsia="en-US"/>
              </w:rPr>
              <w:t xml:space="preserve"> </w:t>
            </w:r>
          </w:p>
        </w:tc>
      </w:tr>
      <w:tr w:rsidR="00AA6B2F" w14:paraId="2E6AD57C" w14:textId="77777777" w:rsidTr="00AA6B2F">
        <w:trPr>
          <w:trHeight w:val="305"/>
        </w:trPr>
        <w:tc>
          <w:tcPr>
            <w:tcW w:w="9010" w:type="dxa"/>
            <w:gridSpan w:val="4"/>
            <w:tcBorders>
              <w:top w:val="single" w:sz="4" w:space="0" w:color="auto"/>
              <w:left w:val="single" w:sz="4" w:space="0" w:color="auto"/>
              <w:bottom w:val="single" w:sz="4" w:space="0" w:color="auto"/>
              <w:right w:val="single" w:sz="4" w:space="0" w:color="auto"/>
            </w:tcBorders>
            <w:shd w:val="clear" w:color="auto" w:fill="4472C4" w:themeFill="accent1"/>
            <w:hideMark/>
          </w:tcPr>
          <w:p w14:paraId="07BE6665" w14:textId="77777777" w:rsidR="00AA6B2F" w:rsidRDefault="00AA6B2F">
            <w:pPr>
              <w:pStyle w:val="NormalWeb"/>
              <w:jc w:val="center"/>
              <w:rPr>
                <w:rFonts w:ascii="Arial" w:hAnsi="Arial" w:cs="Arial"/>
                <w:color w:val="FFFFFF" w:themeColor="background1"/>
                <w:lang w:eastAsia="en-US"/>
              </w:rPr>
            </w:pPr>
            <w:r>
              <w:rPr>
                <w:rFonts w:ascii="Arial" w:hAnsi="Arial" w:cs="Arial"/>
                <w:color w:val="FFFFFF" w:themeColor="background1"/>
                <w:lang w:eastAsia="en-US"/>
              </w:rPr>
              <w:t xml:space="preserve">This form is to be used for treatment, immunisation, examination </w:t>
            </w:r>
            <w:r>
              <w:rPr>
                <w:rFonts w:ascii="Arial" w:hAnsi="Arial" w:cs="Arial"/>
                <w:color w:val="FFFFFF" w:themeColor="background1"/>
                <w:lang w:eastAsia="en-US"/>
              </w:rPr>
              <w:br/>
              <w:t>or minor operation</w:t>
            </w:r>
          </w:p>
        </w:tc>
      </w:tr>
      <w:tr w:rsidR="00AA6B2F" w14:paraId="57615F11" w14:textId="77777777" w:rsidTr="00AA6B2F">
        <w:trPr>
          <w:trHeight w:val="287"/>
        </w:trPr>
        <w:tc>
          <w:tcPr>
            <w:tcW w:w="9010" w:type="dxa"/>
            <w:gridSpan w:val="4"/>
            <w:tcBorders>
              <w:top w:val="single" w:sz="4" w:space="0" w:color="auto"/>
              <w:left w:val="single" w:sz="4" w:space="0" w:color="auto"/>
              <w:bottom w:val="single" w:sz="4" w:space="0" w:color="auto"/>
              <w:right w:val="single" w:sz="4" w:space="0" w:color="auto"/>
            </w:tcBorders>
            <w:shd w:val="clear" w:color="auto" w:fill="4472C4" w:themeFill="accent1"/>
            <w:hideMark/>
          </w:tcPr>
          <w:p w14:paraId="538CB0A4" w14:textId="77777777" w:rsidR="00AA6B2F" w:rsidRDefault="00AA6B2F">
            <w:pPr>
              <w:pStyle w:val="NormalWeb"/>
              <w:jc w:val="center"/>
              <w:rPr>
                <w:rFonts w:ascii="Arial" w:hAnsi="Arial" w:cs="Arial"/>
                <w:b/>
                <w:color w:val="FFFFFF" w:themeColor="background1"/>
                <w:lang w:eastAsia="en-US"/>
              </w:rPr>
            </w:pPr>
            <w:r>
              <w:rPr>
                <w:rFonts w:ascii="Arial" w:hAnsi="Arial" w:cs="Arial"/>
                <w:b/>
                <w:color w:val="FFFFFF" w:themeColor="background1"/>
                <w:lang w:eastAsia="en-US"/>
              </w:rPr>
              <w:t>PATIENT DETAILS</w:t>
            </w:r>
          </w:p>
        </w:tc>
      </w:tr>
      <w:tr w:rsidR="00AA6B2F" w14:paraId="259DC502"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D88E0B2"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Surname</w:t>
            </w:r>
          </w:p>
        </w:tc>
        <w:tc>
          <w:tcPr>
            <w:tcW w:w="2254" w:type="dxa"/>
            <w:tcBorders>
              <w:top w:val="single" w:sz="4" w:space="0" w:color="auto"/>
              <w:left w:val="single" w:sz="4" w:space="0" w:color="auto"/>
              <w:bottom w:val="single" w:sz="4" w:space="0" w:color="auto"/>
              <w:right w:val="single" w:sz="4" w:space="0" w:color="auto"/>
            </w:tcBorders>
          </w:tcPr>
          <w:p w14:paraId="1720FE7C" w14:textId="77777777" w:rsidR="00AA6B2F" w:rsidRDefault="00AA6B2F">
            <w:pPr>
              <w:pStyle w:val="NormalWeb"/>
              <w:rPr>
                <w:rFonts w:ascii="Arial" w:hAnsi="Arial" w:cs="Arial"/>
                <w:lang w:eastAsia="en-US"/>
              </w:rPr>
            </w:pPr>
          </w:p>
        </w:tc>
        <w:tc>
          <w:tcPr>
            <w:tcW w:w="22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7CF8B26"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Forename</w:t>
            </w:r>
          </w:p>
        </w:tc>
        <w:tc>
          <w:tcPr>
            <w:tcW w:w="2211" w:type="dxa"/>
            <w:tcBorders>
              <w:top w:val="single" w:sz="4" w:space="0" w:color="auto"/>
              <w:left w:val="single" w:sz="4" w:space="0" w:color="auto"/>
              <w:bottom w:val="single" w:sz="4" w:space="0" w:color="auto"/>
              <w:right w:val="single" w:sz="4" w:space="0" w:color="auto"/>
            </w:tcBorders>
          </w:tcPr>
          <w:p w14:paraId="201A222C" w14:textId="77777777" w:rsidR="00AA6B2F" w:rsidRDefault="00AA6B2F">
            <w:pPr>
              <w:pStyle w:val="NormalWeb"/>
              <w:rPr>
                <w:rFonts w:ascii="Arial" w:hAnsi="Arial" w:cs="Arial"/>
                <w:lang w:eastAsia="en-US"/>
              </w:rPr>
            </w:pPr>
          </w:p>
        </w:tc>
      </w:tr>
      <w:tr w:rsidR="00AA6B2F" w14:paraId="7230D2DB"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09B9B18"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Title</w:t>
            </w:r>
          </w:p>
        </w:tc>
        <w:tc>
          <w:tcPr>
            <w:tcW w:w="2254" w:type="dxa"/>
            <w:tcBorders>
              <w:top w:val="single" w:sz="4" w:space="0" w:color="auto"/>
              <w:left w:val="single" w:sz="4" w:space="0" w:color="auto"/>
              <w:bottom w:val="single" w:sz="4" w:space="0" w:color="auto"/>
              <w:right w:val="single" w:sz="4" w:space="0" w:color="auto"/>
            </w:tcBorders>
          </w:tcPr>
          <w:p w14:paraId="5C99B87D" w14:textId="77777777" w:rsidR="00AA6B2F" w:rsidRDefault="00AA6B2F">
            <w:pPr>
              <w:pStyle w:val="NormalWeb"/>
              <w:rPr>
                <w:rFonts w:ascii="Arial" w:hAnsi="Arial" w:cs="Arial"/>
                <w:lang w:eastAsia="en-US"/>
              </w:rPr>
            </w:pPr>
          </w:p>
        </w:tc>
        <w:tc>
          <w:tcPr>
            <w:tcW w:w="22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0478C46"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Sex</w:t>
            </w:r>
          </w:p>
        </w:tc>
        <w:tc>
          <w:tcPr>
            <w:tcW w:w="2211" w:type="dxa"/>
            <w:tcBorders>
              <w:top w:val="single" w:sz="4" w:space="0" w:color="auto"/>
              <w:left w:val="single" w:sz="4" w:space="0" w:color="auto"/>
              <w:bottom w:val="single" w:sz="4" w:space="0" w:color="auto"/>
              <w:right w:val="single" w:sz="4" w:space="0" w:color="auto"/>
            </w:tcBorders>
          </w:tcPr>
          <w:p w14:paraId="23DD0C62" w14:textId="77777777" w:rsidR="00AA6B2F" w:rsidRDefault="00AA6B2F">
            <w:pPr>
              <w:pStyle w:val="NormalWeb"/>
              <w:rPr>
                <w:rFonts w:ascii="Arial" w:hAnsi="Arial" w:cs="Arial"/>
                <w:lang w:eastAsia="en-US"/>
              </w:rPr>
            </w:pPr>
          </w:p>
        </w:tc>
      </w:tr>
      <w:tr w:rsidR="00AA6B2F" w14:paraId="04752A4E"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61611CB"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NHS No.</w:t>
            </w:r>
          </w:p>
        </w:tc>
        <w:tc>
          <w:tcPr>
            <w:tcW w:w="2254" w:type="dxa"/>
            <w:tcBorders>
              <w:top w:val="single" w:sz="4" w:space="0" w:color="auto"/>
              <w:left w:val="single" w:sz="4" w:space="0" w:color="auto"/>
              <w:bottom w:val="single" w:sz="4" w:space="0" w:color="auto"/>
              <w:right w:val="single" w:sz="4" w:space="0" w:color="auto"/>
            </w:tcBorders>
          </w:tcPr>
          <w:p w14:paraId="27B58ADD" w14:textId="77777777" w:rsidR="00AA6B2F" w:rsidRDefault="00AA6B2F">
            <w:pPr>
              <w:pStyle w:val="NormalWeb"/>
              <w:rPr>
                <w:rFonts w:ascii="Arial" w:hAnsi="Arial" w:cs="Arial"/>
                <w:lang w:eastAsia="en-US"/>
              </w:rPr>
            </w:pPr>
          </w:p>
        </w:tc>
        <w:tc>
          <w:tcPr>
            <w:tcW w:w="22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A9D0C42"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Date of birth</w:t>
            </w:r>
          </w:p>
        </w:tc>
        <w:tc>
          <w:tcPr>
            <w:tcW w:w="2211" w:type="dxa"/>
            <w:tcBorders>
              <w:top w:val="single" w:sz="4" w:space="0" w:color="auto"/>
              <w:left w:val="single" w:sz="4" w:space="0" w:color="auto"/>
              <w:bottom w:val="single" w:sz="4" w:space="0" w:color="auto"/>
              <w:right w:val="single" w:sz="4" w:space="0" w:color="auto"/>
            </w:tcBorders>
          </w:tcPr>
          <w:p w14:paraId="75EC4738" w14:textId="77777777" w:rsidR="00AA6B2F" w:rsidRDefault="00AA6B2F">
            <w:pPr>
              <w:pStyle w:val="NormalWeb"/>
              <w:rPr>
                <w:rFonts w:ascii="Arial" w:hAnsi="Arial" w:cs="Arial"/>
                <w:lang w:eastAsia="en-US"/>
              </w:rPr>
            </w:pPr>
          </w:p>
        </w:tc>
      </w:tr>
      <w:tr w:rsidR="00AA6B2F" w14:paraId="68272951" w14:textId="77777777" w:rsidTr="00AA6B2F">
        <w:tc>
          <w:tcPr>
            <w:tcW w:w="9010" w:type="dxa"/>
            <w:gridSpan w:val="4"/>
            <w:tcBorders>
              <w:top w:val="single" w:sz="4" w:space="0" w:color="auto"/>
              <w:left w:val="single" w:sz="4" w:space="0" w:color="auto"/>
              <w:bottom w:val="single" w:sz="4" w:space="0" w:color="auto"/>
              <w:right w:val="single" w:sz="4" w:space="0" w:color="auto"/>
            </w:tcBorders>
            <w:shd w:val="clear" w:color="auto" w:fill="4472C4" w:themeFill="accent1"/>
            <w:hideMark/>
          </w:tcPr>
          <w:p w14:paraId="1DE4A8A9" w14:textId="77777777" w:rsidR="00AA6B2F" w:rsidRDefault="00AA6B2F">
            <w:pPr>
              <w:pStyle w:val="NormalWeb"/>
              <w:jc w:val="center"/>
              <w:rPr>
                <w:rFonts w:ascii="Arial" w:hAnsi="Arial" w:cs="Arial"/>
                <w:b/>
                <w:color w:val="FFFFFF" w:themeColor="background1"/>
                <w:lang w:eastAsia="en-US"/>
              </w:rPr>
            </w:pPr>
            <w:r>
              <w:rPr>
                <w:rFonts w:ascii="Arial" w:hAnsi="Arial" w:cs="Arial"/>
                <w:b/>
                <w:color w:val="FFFFFF" w:themeColor="background1"/>
                <w:lang w:eastAsia="en-US"/>
              </w:rPr>
              <w:t>PROCEDURE DETAILS</w:t>
            </w:r>
          </w:p>
        </w:tc>
      </w:tr>
      <w:tr w:rsidR="00AA6B2F" w14:paraId="27770C70" w14:textId="77777777" w:rsidTr="00AA6B2F">
        <w:trPr>
          <w:trHeight w:val="1719"/>
        </w:trPr>
        <w:tc>
          <w:tcPr>
            <w:tcW w:w="9010" w:type="dxa"/>
            <w:gridSpan w:val="4"/>
            <w:tcBorders>
              <w:top w:val="single" w:sz="4" w:space="0" w:color="auto"/>
              <w:left w:val="single" w:sz="4" w:space="0" w:color="auto"/>
              <w:bottom w:val="single" w:sz="4" w:space="0" w:color="auto"/>
              <w:right w:val="single" w:sz="4" w:space="0" w:color="auto"/>
            </w:tcBorders>
            <w:hideMark/>
          </w:tcPr>
          <w:p w14:paraId="41690508" w14:textId="77777777" w:rsidR="00AA6B2F" w:rsidRDefault="00AA6B2F">
            <w:pPr>
              <w:pStyle w:val="NormalWeb"/>
              <w:rPr>
                <w:rFonts w:ascii="Arial" w:hAnsi="Arial" w:cs="Arial"/>
                <w:sz w:val="22"/>
                <w:szCs w:val="22"/>
                <w:lang w:eastAsia="en-US"/>
              </w:rPr>
            </w:pPr>
            <w:r>
              <w:rPr>
                <w:rFonts w:ascii="Arial" w:hAnsi="Arial" w:cs="Arial"/>
                <w:sz w:val="22"/>
                <w:szCs w:val="22"/>
                <w:lang w:eastAsia="en-US"/>
              </w:rPr>
              <w:t>The clinician has discussed with the patient the following:</w:t>
            </w:r>
          </w:p>
          <w:p w14:paraId="74F2E05D" w14:textId="77777777" w:rsidR="00AA6B2F" w:rsidRDefault="00AA6B2F" w:rsidP="00AA6B2F">
            <w:pPr>
              <w:pStyle w:val="NormalWeb"/>
              <w:numPr>
                <w:ilvl w:val="0"/>
                <w:numId w:val="32"/>
              </w:numPr>
              <w:rPr>
                <w:rFonts w:ascii="Arial" w:hAnsi="Arial" w:cs="Arial"/>
                <w:sz w:val="22"/>
                <w:szCs w:val="22"/>
                <w:lang w:eastAsia="en-US"/>
              </w:rPr>
            </w:pPr>
            <w:r>
              <w:rPr>
                <w:rFonts w:ascii="Arial" w:hAnsi="Arial" w:cs="Arial"/>
                <w:sz w:val="22"/>
                <w:szCs w:val="22"/>
                <w:lang w:eastAsia="en-US"/>
              </w:rPr>
              <w:t>The nature of the procedure, techniques used and aftercare</w:t>
            </w:r>
          </w:p>
          <w:p w14:paraId="24965589" w14:textId="77777777" w:rsidR="00AA6B2F" w:rsidRDefault="00AA6B2F" w:rsidP="00AA6B2F">
            <w:pPr>
              <w:pStyle w:val="NormalWeb"/>
              <w:numPr>
                <w:ilvl w:val="0"/>
                <w:numId w:val="32"/>
              </w:numPr>
              <w:rPr>
                <w:rFonts w:ascii="Arial" w:hAnsi="Arial" w:cs="Arial"/>
                <w:sz w:val="22"/>
                <w:szCs w:val="22"/>
                <w:lang w:eastAsia="en-US"/>
              </w:rPr>
            </w:pPr>
            <w:r>
              <w:rPr>
                <w:rFonts w:ascii="Arial" w:hAnsi="Arial" w:cs="Arial"/>
                <w:sz w:val="22"/>
                <w:szCs w:val="22"/>
                <w:lang w:eastAsia="en-US"/>
              </w:rPr>
              <w:t>The associated benefits and risks</w:t>
            </w:r>
          </w:p>
          <w:p w14:paraId="365C2516" w14:textId="77777777" w:rsidR="00AA6B2F" w:rsidRDefault="00AA6B2F" w:rsidP="00AA6B2F">
            <w:pPr>
              <w:pStyle w:val="NormalWeb"/>
              <w:numPr>
                <w:ilvl w:val="0"/>
                <w:numId w:val="32"/>
              </w:numPr>
              <w:rPr>
                <w:rFonts w:ascii="Arial" w:hAnsi="Arial" w:cs="Arial"/>
                <w:sz w:val="22"/>
                <w:szCs w:val="22"/>
                <w:lang w:eastAsia="en-US"/>
              </w:rPr>
            </w:pPr>
            <w:r>
              <w:rPr>
                <w:rFonts w:ascii="Arial" w:hAnsi="Arial" w:cs="Arial"/>
                <w:sz w:val="22"/>
                <w:szCs w:val="22"/>
                <w:lang w:eastAsia="en-US"/>
              </w:rPr>
              <w:t xml:space="preserve">Any follow-up procedures, </w:t>
            </w:r>
            <w:proofErr w:type="gramStart"/>
            <w:r>
              <w:rPr>
                <w:rFonts w:ascii="Arial" w:hAnsi="Arial" w:cs="Arial"/>
                <w:sz w:val="22"/>
                <w:szCs w:val="22"/>
                <w:lang w:eastAsia="en-US"/>
              </w:rPr>
              <w:t>examinations</w:t>
            </w:r>
            <w:proofErr w:type="gramEnd"/>
            <w:r>
              <w:rPr>
                <w:rFonts w:ascii="Arial" w:hAnsi="Arial" w:cs="Arial"/>
                <w:sz w:val="22"/>
                <w:szCs w:val="22"/>
                <w:lang w:eastAsia="en-US"/>
              </w:rPr>
              <w:t xml:space="preserve"> or other pertinent information</w:t>
            </w:r>
          </w:p>
          <w:p w14:paraId="08079F4D" w14:textId="77777777" w:rsidR="00AA6B2F" w:rsidRDefault="00AA6B2F" w:rsidP="00AA6B2F">
            <w:pPr>
              <w:pStyle w:val="NormalWeb"/>
              <w:numPr>
                <w:ilvl w:val="0"/>
                <w:numId w:val="32"/>
              </w:numPr>
              <w:spacing w:before="0" w:beforeAutospacing="0" w:after="120" w:afterAutospacing="0"/>
              <w:ind w:left="714" w:hanging="357"/>
              <w:rPr>
                <w:rFonts w:ascii="Arial" w:hAnsi="Arial" w:cs="Arial"/>
                <w:sz w:val="22"/>
                <w:szCs w:val="22"/>
                <w:lang w:eastAsia="en-US"/>
              </w:rPr>
            </w:pPr>
            <w:r>
              <w:rPr>
                <w:rFonts w:ascii="Arial" w:hAnsi="Arial" w:cs="Arial"/>
                <w:sz w:val="22"/>
                <w:szCs w:val="22"/>
                <w:lang w:eastAsia="en-US"/>
              </w:rPr>
              <w:t>The rights of the patient</w:t>
            </w:r>
          </w:p>
        </w:tc>
      </w:tr>
      <w:tr w:rsidR="00AA6B2F" w14:paraId="03869C58"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24F8C2"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Name of clinician</w:t>
            </w:r>
          </w:p>
        </w:tc>
        <w:tc>
          <w:tcPr>
            <w:tcW w:w="2254" w:type="dxa"/>
            <w:tcBorders>
              <w:top w:val="single" w:sz="4" w:space="0" w:color="auto"/>
              <w:left w:val="single" w:sz="4" w:space="0" w:color="auto"/>
              <w:bottom w:val="single" w:sz="4" w:space="0" w:color="auto"/>
              <w:right w:val="single" w:sz="4" w:space="0" w:color="auto"/>
            </w:tcBorders>
          </w:tcPr>
          <w:p w14:paraId="2E67FCAD" w14:textId="77777777" w:rsidR="00AA6B2F" w:rsidRDefault="00AA6B2F">
            <w:pPr>
              <w:pStyle w:val="NormalWeb"/>
              <w:rPr>
                <w:rFonts w:ascii="Arial" w:hAnsi="Arial" w:cs="Arial"/>
                <w:b/>
                <w:lang w:eastAsia="en-US"/>
              </w:rPr>
            </w:pPr>
          </w:p>
          <w:p w14:paraId="66553649" w14:textId="77777777" w:rsidR="00AA6B2F" w:rsidRDefault="00AA6B2F">
            <w:pPr>
              <w:pStyle w:val="NormalWeb"/>
              <w:rPr>
                <w:rFonts w:ascii="Arial" w:hAnsi="Arial" w:cs="Arial"/>
                <w:b/>
                <w:lang w:eastAsia="en-US"/>
              </w:rPr>
            </w:pPr>
          </w:p>
        </w:tc>
        <w:tc>
          <w:tcPr>
            <w:tcW w:w="22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E108C9F"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Title (Dr, nurse, etc.)</w:t>
            </w:r>
          </w:p>
        </w:tc>
        <w:tc>
          <w:tcPr>
            <w:tcW w:w="2211" w:type="dxa"/>
            <w:tcBorders>
              <w:top w:val="single" w:sz="4" w:space="0" w:color="auto"/>
              <w:left w:val="single" w:sz="4" w:space="0" w:color="auto"/>
              <w:bottom w:val="single" w:sz="4" w:space="0" w:color="auto"/>
              <w:right w:val="single" w:sz="4" w:space="0" w:color="auto"/>
            </w:tcBorders>
          </w:tcPr>
          <w:p w14:paraId="0BEFA481" w14:textId="77777777" w:rsidR="00AA6B2F" w:rsidRDefault="00AA6B2F">
            <w:pPr>
              <w:pStyle w:val="NormalWeb"/>
              <w:rPr>
                <w:rFonts w:ascii="Arial" w:hAnsi="Arial" w:cs="Arial"/>
                <w:b/>
                <w:lang w:eastAsia="en-US"/>
              </w:rPr>
            </w:pPr>
          </w:p>
        </w:tc>
      </w:tr>
      <w:tr w:rsidR="00AA6B2F" w14:paraId="7032083E"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E288747"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Date of procedure</w:t>
            </w:r>
          </w:p>
        </w:tc>
        <w:tc>
          <w:tcPr>
            <w:tcW w:w="2254" w:type="dxa"/>
            <w:tcBorders>
              <w:top w:val="single" w:sz="4" w:space="0" w:color="auto"/>
              <w:left w:val="single" w:sz="4" w:space="0" w:color="auto"/>
              <w:bottom w:val="single" w:sz="4" w:space="0" w:color="auto"/>
              <w:right w:val="single" w:sz="4" w:space="0" w:color="auto"/>
            </w:tcBorders>
          </w:tcPr>
          <w:p w14:paraId="53DA882E" w14:textId="77777777" w:rsidR="00AA6B2F" w:rsidRDefault="00AA6B2F">
            <w:pPr>
              <w:pStyle w:val="NormalWeb"/>
              <w:rPr>
                <w:rFonts w:ascii="Arial" w:hAnsi="Arial" w:cs="Arial"/>
                <w:b/>
                <w:lang w:eastAsia="en-US"/>
              </w:rPr>
            </w:pPr>
          </w:p>
          <w:p w14:paraId="01A7414E" w14:textId="77777777" w:rsidR="00AA6B2F" w:rsidRDefault="00AA6B2F">
            <w:pPr>
              <w:pStyle w:val="NormalWeb"/>
              <w:rPr>
                <w:rFonts w:ascii="Arial" w:hAnsi="Arial" w:cs="Arial"/>
                <w:b/>
                <w:lang w:eastAsia="en-US"/>
              </w:rPr>
            </w:pPr>
          </w:p>
        </w:tc>
        <w:tc>
          <w:tcPr>
            <w:tcW w:w="22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880F2BB"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Location</w:t>
            </w:r>
          </w:p>
        </w:tc>
        <w:tc>
          <w:tcPr>
            <w:tcW w:w="2211" w:type="dxa"/>
            <w:tcBorders>
              <w:top w:val="single" w:sz="4" w:space="0" w:color="auto"/>
              <w:left w:val="single" w:sz="4" w:space="0" w:color="auto"/>
              <w:bottom w:val="single" w:sz="4" w:space="0" w:color="auto"/>
              <w:right w:val="single" w:sz="4" w:space="0" w:color="auto"/>
            </w:tcBorders>
          </w:tcPr>
          <w:p w14:paraId="55EC958C" w14:textId="77777777" w:rsidR="00AA6B2F" w:rsidRDefault="00AA6B2F">
            <w:pPr>
              <w:pStyle w:val="NormalWeb"/>
              <w:rPr>
                <w:rFonts w:ascii="Arial" w:hAnsi="Arial" w:cs="Arial"/>
                <w:b/>
                <w:lang w:eastAsia="en-US"/>
              </w:rPr>
            </w:pPr>
          </w:p>
        </w:tc>
      </w:tr>
      <w:tr w:rsidR="00AA6B2F" w14:paraId="25175E69"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A7315BA"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Type of procedure</w:t>
            </w:r>
          </w:p>
        </w:tc>
        <w:tc>
          <w:tcPr>
            <w:tcW w:w="6760" w:type="dxa"/>
            <w:gridSpan w:val="3"/>
            <w:tcBorders>
              <w:top w:val="single" w:sz="4" w:space="0" w:color="auto"/>
              <w:left w:val="single" w:sz="4" w:space="0" w:color="auto"/>
              <w:bottom w:val="single" w:sz="4" w:space="0" w:color="auto"/>
              <w:right w:val="single" w:sz="4" w:space="0" w:color="auto"/>
            </w:tcBorders>
          </w:tcPr>
          <w:p w14:paraId="3C156D4B" w14:textId="77777777" w:rsidR="00AA6B2F" w:rsidRDefault="00AA6B2F">
            <w:pPr>
              <w:pStyle w:val="NormalWeb"/>
              <w:rPr>
                <w:rFonts w:ascii="Arial" w:hAnsi="Arial" w:cs="Arial"/>
                <w:b/>
                <w:lang w:eastAsia="en-US"/>
              </w:rPr>
            </w:pPr>
          </w:p>
          <w:p w14:paraId="1D0E9F3B" w14:textId="77777777" w:rsidR="00AA6B2F" w:rsidRDefault="00AA6B2F">
            <w:pPr>
              <w:pStyle w:val="NormalWeb"/>
              <w:rPr>
                <w:rFonts w:ascii="Arial" w:hAnsi="Arial" w:cs="Arial"/>
                <w:b/>
                <w:lang w:eastAsia="en-US"/>
              </w:rPr>
            </w:pPr>
          </w:p>
          <w:p w14:paraId="54FF4AC3" w14:textId="77777777" w:rsidR="00AA6B2F" w:rsidRDefault="00AA6B2F">
            <w:pPr>
              <w:pStyle w:val="NormalWeb"/>
              <w:rPr>
                <w:rFonts w:ascii="Arial" w:hAnsi="Arial" w:cs="Arial"/>
                <w:b/>
                <w:sz w:val="18"/>
                <w:szCs w:val="18"/>
                <w:lang w:eastAsia="en-US"/>
              </w:rPr>
            </w:pPr>
          </w:p>
          <w:p w14:paraId="60E3FABF" w14:textId="77777777" w:rsidR="00AA6B2F" w:rsidRDefault="00AA6B2F">
            <w:pPr>
              <w:pStyle w:val="NormalWeb"/>
              <w:rPr>
                <w:rFonts w:ascii="Arial" w:hAnsi="Arial" w:cs="Arial"/>
                <w:b/>
                <w:lang w:eastAsia="en-US"/>
              </w:rPr>
            </w:pPr>
          </w:p>
        </w:tc>
      </w:tr>
      <w:tr w:rsidR="00AA6B2F" w14:paraId="5CB46D83" w14:textId="77777777" w:rsidTr="00AA6B2F">
        <w:trPr>
          <w:trHeight w:val="1114"/>
        </w:trPr>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C8DA0A3"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Clinician’s signature, print name and date</w:t>
            </w:r>
          </w:p>
        </w:tc>
        <w:tc>
          <w:tcPr>
            <w:tcW w:w="4549" w:type="dxa"/>
            <w:gridSpan w:val="2"/>
            <w:tcBorders>
              <w:top w:val="single" w:sz="4" w:space="0" w:color="auto"/>
              <w:left w:val="single" w:sz="4" w:space="0" w:color="auto"/>
              <w:bottom w:val="single" w:sz="4" w:space="0" w:color="auto"/>
              <w:right w:val="single" w:sz="4" w:space="0" w:color="auto"/>
            </w:tcBorders>
          </w:tcPr>
          <w:p w14:paraId="3058536D" w14:textId="77777777" w:rsidR="00AA6B2F" w:rsidRDefault="00AA6B2F">
            <w:pPr>
              <w:pStyle w:val="NormalWeb"/>
              <w:rPr>
                <w:rFonts w:ascii="Arial" w:hAnsi="Arial" w:cs="Arial"/>
                <w:b/>
                <w:sz w:val="48"/>
                <w:szCs w:val="48"/>
                <w:lang w:eastAsia="en-US"/>
              </w:rPr>
            </w:pPr>
          </w:p>
        </w:tc>
        <w:tc>
          <w:tcPr>
            <w:tcW w:w="2211" w:type="dxa"/>
            <w:tcBorders>
              <w:top w:val="single" w:sz="4" w:space="0" w:color="auto"/>
              <w:left w:val="single" w:sz="4" w:space="0" w:color="auto"/>
              <w:bottom w:val="single" w:sz="4" w:space="0" w:color="auto"/>
              <w:right w:val="single" w:sz="4" w:space="0" w:color="auto"/>
            </w:tcBorders>
          </w:tcPr>
          <w:p w14:paraId="478537A4" w14:textId="77777777" w:rsidR="00AA6B2F" w:rsidRDefault="00AA6B2F">
            <w:pPr>
              <w:pStyle w:val="NormalWeb"/>
              <w:rPr>
                <w:rFonts w:ascii="Arial" w:hAnsi="Arial" w:cs="Arial"/>
                <w:b/>
                <w:lang w:eastAsia="en-US"/>
              </w:rPr>
            </w:pPr>
          </w:p>
        </w:tc>
      </w:tr>
      <w:tr w:rsidR="00AA6B2F" w14:paraId="1A1AA874" w14:textId="77777777" w:rsidTr="00AA6B2F">
        <w:tc>
          <w:tcPr>
            <w:tcW w:w="9010" w:type="dxa"/>
            <w:gridSpan w:val="4"/>
            <w:tcBorders>
              <w:top w:val="single" w:sz="4" w:space="0" w:color="auto"/>
              <w:left w:val="single" w:sz="4" w:space="0" w:color="auto"/>
              <w:bottom w:val="single" w:sz="4" w:space="0" w:color="auto"/>
              <w:right w:val="single" w:sz="4" w:space="0" w:color="auto"/>
            </w:tcBorders>
            <w:shd w:val="clear" w:color="auto" w:fill="4472C4" w:themeFill="accent1"/>
            <w:hideMark/>
          </w:tcPr>
          <w:p w14:paraId="10DA19C1" w14:textId="77777777" w:rsidR="00AA6B2F" w:rsidRDefault="00AA6B2F">
            <w:pPr>
              <w:pStyle w:val="NormalWeb"/>
              <w:jc w:val="center"/>
              <w:rPr>
                <w:rFonts w:ascii="Arial" w:hAnsi="Arial" w:cs="Arial"/>
                <w:b/>
                <w:color w:val="FFFFFF" w:themeColor="background1"/>
                <w:lang w:eastAsia="en-US"/>
              </w:rPr>
            </w:pPr>
            <w:r>
              <w:rPr>
                <w:rFonts w:ascii="Arial" w:hAnsi="Arial" w:cs="Arial"/>
                <w:b/>
                <w:color w:val="FFFFFF" w:themeColor="background1"/>
                <w:lang w:eastAsia="en-US"/>
              </w:rPr>
              <w:t>PATIENT CONSENT</w:t>
            </w:r>
          </w:p>
        </w:tc>
      </w:tr>
      <w:tr w:rsidR="00AA6B2F" w14:paraId="0BF2F9B4" w14:textId="77777777" w:rsidTr="00AA6B2F">
        <w:tc>
          <w:tcPr>
            <w:tcW w:w="9010" w:type="dxa"/>
            <w:gridSpan w:val="4"/>
            <w:tcBorders>
              <w:top w:val="single" w:sz="4" w:space="0" w:color="auto"/>
              <w:left w:val="single" w:sz="4" w:space="0" w:color="auto"/>
              <w:bottom w:val="single" w:sz="4" w:space="0" w:color="auto"/>
              <w:right w:val="single" w:sz="4" w:space="0" w:color="auto"/>
            </w:tcBorders>
            <w:hideMark/>
          </w:tcPr>
          <w:p w14:paraId="0BBD2B7B" w14:textId="77777777" w:rsidR="00AA6B2F" w:rsidRDefault="00AA6B2F">
            <w:pPr>
              <w:pStyle w:val="NormalWeb"/>
              <w:rPr>
                <w:rFonts w:ascii="Arial" w:hAnsi="Arial" w:cs="Arial"/>
                <w:sz w:val="22"/>
                <w:szCs w:val="22"/>
                <w:lang w:eastAsia="en-US"/>
              </w:rPr>
            </w:pPr>
            <w:r>
              <w:rPr>
                <w:rFonts w:ascii="Arial" w:hAnsi="Arial" w:cs="Arial"/>
                <w:sz w:val="22"/>
                <w:szCs w:val="22"/>
                <w:lang w:eastAsia="en-US"/>
              </w:rPr>
              <w:t xml:space="preserve">I understand the need for and consent to the procedure detailed above. I confirm that I have been given all the required information about the procedure, including techniques, aftercare, benefits, </w:t>
            </w:r>
            <w:proofErr w:type="gramStart"/>
            <w:r>
              <w:rPr>
                <w:rFonts w:ascii="Arial" w:hAnsi="Arial" w:cs="Arial"/>
                <w:sz w:val="22"/>
                <w:szCs w:val="22"/>
                <w:lang w:eastAsia="en-US"/>
              </w:rPr>
              <w:t>risks</w:t>
            </w:r>
            <w:proofErr w:type="gramEnd"/>
            <w:r>
              <w:rPr>
                <w:rFonts w:ascii="Arial" w:hAnsi="Arial" w:cs="Arial"/>
                <w:sz w:val="22"/>
                <w:szCs w:val="22"/>
                <w:lang w:eastAsia="en-US"/>
              </w:rPr>
              <w:t xml:space="preserve"> and the required follow-up process. </w:t>
            </w:r>
          </w:p>
          <w:p w14:paraId="7339D024" w14:textId="77777777" w:rsidR="00AA6B2F" w:rsidRDefault="00AA6B2F">
            <w:pPr>
              <w:pStyle w:val="NormalWeb"/>
              <w:rPr>
                <w:rFonts w:ascii="Arial" w:hAnsi="Arial" w:cs="Arial"/>
                <w:sz w:val="22"/>
                <w:szCs w:val="22"/>
                <w:lang w:eastAsia="en-US"/>
              </w:rPr>
            </w:pPr>
            <w:r>
              <w:rPr>
                <w:rFonts w:ascii="Arial" w:hAnsi="Arial" w:cs="Arial"/>
                <w:sz w:val="22"/>
                <w:szCs w:val="22"/>
                <w:lang w:eastAsia="en-US"/>
              </w:rPr>
              <w:t>I also have been advised of my rights as a patient.</w:t>
            </w:r>
          </w:p>
        </w:tc>
      </w:tr>
      <w:tr w:rsidR="00AA6B2F" w14:paraId="3D08C9A8"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362355A"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Signature of patient</w:t>
            </w:r>
          </w:p>
        </w:tc>
        <w:tc>
          <w:tcPr>
            <w:tcW w:w="6760" w:type="dxa"/>
            <w:gridSpan w:val="3"/>
            <w:tcBorders>
              <w:top w:val="single" w:sz="4" w:space="0" w:color="auto"/>
              <w:left w:val="single" w:sz="4" w:space="0" w:color="auto"/>
              <w:bottom w:val="single" w:sz="4" w:space="0" w:color="auto"/>
              <w:right w:val="single" w:sz="4" w:space="0" w:color="auto"/>
            </w:tcBorders>
          </w:tcPr>
          <w:p w14:paraId="69A571B1" w14:textId="77777777" w:rsidR="00AA6B2F" w:rsidRDefault="00AA6B2F">
            <w:pPr>
              <w:pStyle w:val="NormalWeb"/>
              <w:rPr>
                <w:rFonts w:ascii="Arial" w:hAnsi="Arial" w:cs="Arial"/>
                <w:b/>
                <w:lang w:eastAsia="en-US"/>
              </w:rPr>
            </w:pPr>
          </w:p>
          <w:p w14:paraId="0B0795C1" w14:textId="77777777" w:rsidR="00AA6B2F" w:rsidRDefault="00AA6B2F">
            <w:pPr>
              <w:pStyle w:val="NormalWeb"/>
              <w:rPr>
                <w:rFonts w:ascii="Arial" w:hAnsi="Arial" w:cs="Arial"/>
                <w:b/>
                <w:lang w:eastAsia="en-US"/>
              </w:rPr>
            </w:pPr>
          </w:p>
        </w:tc>
      </w:tr>
      <w:tr w:rsidR="00AA6B2F" w14:paraId="225C16B3" w14:textId="77777777" w:rsidTr="00AA6B2F">
        <w:tc>
          <w:tcPr>
            <w:tcW w:w="22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52D02E2" w14:textId="77777777" w:rsidR="00AA6B2F" w:rsidRDefault="00AA6B2F">
            <w:pPr>
              <w:pStyle w:val="NormalWeb"/>
              <w:rPr>
                <w:rFonts w:ascii="Arial" w:hAnsi="Arial" w:cs="Arial"/>
                <w:b/>
                <w:color w:val="FFFFFF" w:themeColor="background1"/>
                <w:lang w:eastAsia="en-US"/>
              </w:rPr>
            </w:pPr>
            <w:r>
              <w:rPr>
                <w:rFonts w:ascii="Arial" w:hAnsi="Arial" w:cs="Arial"/>
                <w:b/>
                <w:color w:val="FFFFFF" w:themeColor="background1"/>
                <w:lang w:eastAsia="en-US"/>
              </w:rPr>
              <w:t>Date of signature</w:t>
            </w:r>
          </w:p>
        </w:tc>
        <w:tc>
          <w:tcPr>
            <w:tcW w:w="6760" w:type="dxa"/>
            <w:gridSpan w:val="3"/>
            <w:tcBorders>
              <w:top w:val="single" w:sz="4" w:space="0" w:color="auto"/>
              <w:left w:val="single" w:sz="4" w:space="0" w:color="auto"/>
              <w:bottom w:val="single" w:sz="4" w:space="0" w:color="auto"/>
              <w:right w:val="single" w:sz="4" w:space="0" w:color="auto"/>
            </w:tcBorders>
          </w:tcPr>
          <w:p w14:paraId="7AD44B33" w14:textId="77777777" w:rsidR="00AA6B2F" w:rsidRDefault="00AA6B2F">
            <w:pPr>
              <w:pStyle w:val="NormalWeb"/>
              <w:rPr>
                <w:rFonts w:ascii="Arial" w:hAnsi="Arial" w:cs="Arial"/>
                <w:b/>
                <w:lang w:eastAsia="en-US"/>
              </w:rPr>
            </w:pPr>
          </w:p>
          <w:p w14:paraId="3D55DF16" w14:textId="77777777" w:rsidR="00AA6B2F" w:rsidRDefault="00AA6B2F">
            <w:pPr>
              <w:pStyle w:val="NormalWeb"/>
              <w:rPr>
                <w:rFonts w:ascii="Arial" w:hAnsi="Arial" w:cs="Arial"/>
                <w:b/>
                <w:lang w:eastAsia="en-US"/>
              </w:rPr>
            </w:pPr>
          </w:p>
        </w:tc>
      </w:tr>
    </w:tbl>
    <w:p w14:paraId="41DFA459" w14:textId="77777777" w:rsidR="00AA6B2F" w:rsidRDefault="00AA6B2F" w:rsidP="00AA6B2F">
      <w:pPr>
        <w:pStyle w:val="NormalWeb"/>
        <w:spacing w:before="0" w:beforeAutospacing="0" w:after="0" w:afterAutospacing="0"/>
        <w:rPr>
          <w:rFonts w:ascii="Arial" w:hAnsi="Arial" w:cs="Arial"/>
        </w:rPr>
      </w:pPr>
    </w:p>
    <w:p w14:paraId="1A8045A4" w14:textId="77777777" w:rsidR="00956BA3" w:rsidRPr="004634B7" w:rsidRDefault="00956BA3" w:rsidP="00956BA3">
      <w:pPr>
        <w:pStyle w:val="NormalWeb"/>
        <w:rPr>
          <w:rFonts w:asciiTheme="minorHAnsi" w:hAnsiTheme="minorHAnsi"/>
          <w:b/>
        </w:rPr>
      </w:pPr>
    </w:p>
    <w:p w14:paraId="65DDFD8C" w14:textId="77777777" w:rsidR="001B2025" w:rsidRDefault="001B2025" w:rsidP="001B2025">
      <w:pPr>
        <w:pStyle w:val="NormalWeb"/>
        <w:rPr>
          <w:rFonts w:ascii="Arial" w:hAnsi="Arial" w:cs="Arial"/>
        </w:rPr>
      </w:pPr>
    </w:p>
    <w:sectPr w:rsidR="001B2025" w:rsidSect="003E3B00">
      <w:headerReference w:type="default" r:id="rId75"/>
      <w:footerReference w:type="even" r:id="rId76"/>
      <w:footerReference w:type="default" r:id="rId7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9C8B7" w14:textId="77777777" w:rsidR="007335B2" w:rsidRDefault="007335B2" w:rsidP="001A7ADA">
      <w:r>
        <w:separator/>
      </w:r>
    </w:p>
  </w:endnote>
  <w:endnote w:type="continuationSeparator" w:id="0">
    <w:p w14:paraId="0B3B07D3" w14:textId="77777777" w:rsidR="007335B2" w:rsidRDefault="007335B2"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4487" w14:textId="77777777" w:rsidR="00462EF4" w:rsidRDefault="00462EF4"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462EF4" w:rsidRDefault="00462EF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C047E" w14:textId="77777777" w:rsidR="00462EF4" w:rsidRDefault="00462EF4"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23C7">
      <w:rPr>
        <w:rStyle w:val="PageNumber"/>
        <w:noProof/>
      </w:rPr>
      <w:t>6</w:t>
    </w:r>
    <w:r>
      <w:rPr>
        <w:rStyle w:val="PageNumber"/>
      </w:rPr>
      <w:fldChar w:fldCharType="end"/>
    </w:r>
  </w:p>
  <w:p w14:paraId="026A0C06" w14:textId="77777777" w:rsidR="00462EF4" w:rsidRDefault="00462EF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202FE" w14:textId="77777777" w:rsidR="007335B2" w:rsidRDefault="007335B2" w:rsidP="001A7ADA">
      <w:r>
        <w:separator/>
      </w:r>
    </w:p>
  </w:footnote>
  <w:footnote w:type="continuationSeparator" w:id="0">
    <w:p w14:paraId="08791C79" w14:textId="77777777" w:rsidR="007335B2" w:rsidRDefault="007335B2" w:rsidP="001A7ADA">
      <w:r>
        <w:continuationSeparator/>
      </w:r>
    </w:p>
  </w:footnote>
  <w:footnote w:id="1">
    <w:p w14:paraId="2AF730D6" w14:textId="77777777" w:rsidR="00AA6B2F" w:rsidRDefault="00AA6B2F" w:rsidP="00AA6B2F">
      <w:pPr>
        <w:pStyle w:val="FootnoteText"/>
        <w:rPr>
          <w:rFonts w:cs="Arial"/>
          <w:sz w:val="22"/>
          <w:szCs w:val="18"/>
          <w:lang w:val="en-US"/>
        </w:rPr>
      </w:pPr>
      <w:r>
        <w:rPr>
          <w:rStyle w:val="FootnoteReference"/>
          <w:rFonts w:cs="Arial"/>
          <w:szCs w:val="18"/>
        </w:rPr>
        <w:footnoteRef/>
      </w:r>
      <w:r>
        <w:rPr>
          <w:rFonts w:cs="Arial"/>
          <w:sz w:val="22"/>
          <w:szCs w:val="18"/>
        </w:rPr>
        <w:t xml:space="preserve"> </w:t>
      </w:r>
      <w:hyperlink r:id="rId1" w:history="1">
        <w:r>
          <w:rPr>
            <w:rStyle w:val="Hyperlink"/>
            <w:rFonts w:cs="Arial"/>
            <w:szCs w:val="18"/>
          </w:rPr>
          <w:t>World Health Organisation Patient Safety and Rights</w:t>
        </w:r>
      </w:hyperlink>
    </w:p>
  </w:footnote>
  <w:footnote w:id="2">
    <w:p w14:paraId="6819488C" w14:textId="77777777" w:rsidR="00AA6B2F" w:rsidRDefault="00AA6B2F" w:rsidP="00AA6B2F">
      <w:pPr>
        <w:pStyle w:val="FootnoteText"/>
        <w:rPr>
          <w:sz w:val="20"/>
          <w:szCs w:val="20"/>
        </w:rPr>
      </w:pPr>
      <w:r>
        <w:rPr>
          <w:rStyle w:val="FootnoteReference"/>
          <w:rFonts w:cs="Arial"/>
          <w:szCs w:val="18"/>
        </w:rPr>
        <w:footnoteRef/>
      </w:r>
      <w:r>
        <w:rPr>
          <w:rFonts w:cs="Arial"/>
          <w:sz w:val="22"/>
          <w:szCs w:val="18"/>
        </w:rPr>
        <w:t xml:space="preserve"> </w:t>
      </w:r>
      <w:hyperlink r:id="rId2" w:history="1">
        <w:r>
          <w:rPr>
            <w:rStyle w:val="Hyperlink"/>
            <w:rFonts w:cs="Arial"/>
            <w:szCs w:val="18"/>
          </w:rPr>
          <w:t>cqc.org.uk</w:t>
        </w:r>
      </w:hyperlink>
    </w:p>
  </w:footnote>
  <w:footnote w:id="3">
    <w:p w14:paraId="4DD86AA7" w14:textId="77777777" w:rsidR="00AA6B2F" w:rsidRDefault="00AA6B2F" w:rsidP="00AA6B2F">
      <w:pPr>
        <w:pStyle w:val="FootnoteText"/>
        <w:rPr>
          <w:rFonts w:cs="Arial"/>
          <w:sz w:val="18"/>
          <w:szCs w:val="18"/>
        </w:rPr>
      </w:pPr>
      <w:r>
        <w:rPr>
          <w:rStyle w:val="FootnoteReference"/>
          <w:rFonts w:cs="Arial"/>
          <w:szCs w:val="18"/>
        </w:rPr>
        <w:footnoteRef/>
      </w:r>
      <w:r>
        <w:rPr>
          <w:rFonts w:cs="Arial"/>
          <w:sz w:val="22"/>
          <w:szCs w:val="18"/>
        </w:rPr>
        <w:t xml:space="preserve"> </w:t>
      </w:r>
      <w:hyperlink r:id="rId3" w:history="1">
        <w:r>
          <w:rPr>
            <w:rStyle w:val="Hyperlink"/>
            <w:rFonts w:cs="Arial"/>
            <w:szCs w:val="18"/>
          </w:rPr>
          <w:t>Network DES Contract specification 2021/22</w:t>
        </w:r>
      </w:hyperlink>
    </w:p>
  </w:footnote>
  <w:footnote w:id="4">
    <w:p w14:paraId="15A6D1BC" w14:textId="77777777" w:rsidR="00AA6B2F" w:rsidRDefault="00AA6B2F" w:rsidP="00AA6B2F">
      <w:pPr>
        <w:pStyle w:val="FootnoteText"/>
        <w:rPr>
          <w:rFonts w:cs="Arial"/>
          <w:sz w:val="18"/>
          <w:szCs w:val="18"/>
        </w:rPr>
      </w:pPr>
      <w:r>
        <w:rPr>
          <w:rStyle w:val="FootnoteReference"/>
          <w:rFonts w:cs="Arial"/>
          <w:szCs w:val="18"/>
        </w:rPr>
        <w:footnoteRef/>
      </w:r>
      <w:r>
        <w:rPr>
          <w:rFonts w:cs="Arial"/>
          <w:sz w:val="22"/>
          <w:szCs w:val="18"/>
        </w:rPr>
        <w:t xml:space="preserve"> </w:t>
      </w:r>
      <w:hyperlink r:id="rId4" w:history="1">
        <w:r>
          <w:rPr>
            <w:rStyle w:val="Hyperlink"/>
            <w:rFonts w:cs="Arial"/>
            <w:szCs w:val="18"/>
          </w:rPr>
          <w:t>Reference guide to consent for examination or treatment</w:t>
        </w:r>
      </w:hyperlink>
    </w:p>
  </w:footnote>
  <w:footnote w:id="5">
    <w:p w14:paraId="3BC8DD7B" w14:textId="77777777" w:rsidR="00AA6B2F" w:rsidRDefault="00AA6B2F" w:rsidP="00AA6B2F">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5" w:history="1">
        <w:r>
          <w:rPr>
            <w:rStyle w:val="Hyperlink"/>
            <w:rFonts w:cs="Arial"/>
            <w:szCs w:val="18"/>
          </w:rPr>
          <w:t>Green Book, Chapter 2 - Consent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DC16" w14:textId="622B8C5E" w:rsidR="001A5A31" w:rsidRPr="004E46E2" w:rsidRDefault="004E46E2" w:rsidP="001A5A31">
    <w:pPr>
      <w:pStyle w:val="Header"/>
      <w:jc w:val="center"/>
      <w:rPr>
        <w:b/>
        <w:sz w:val="44"/>
      </w:rPr>
    </w:pPr>
    <w:r w:rsidRPr="004E46E2">
      <w:rPr>
        <w:b/>
        <w:sz w:val="44"/>
      </w:rPr>
      <w:t>HALL GREEN SURGERY</w:t>
    </w:r>
  </w:p>
  <w:p w14:paraId="085CE0CF" w14:textId="77777777" w:rsidR="001A5A31" w:rsidRDefault="001A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11601"/>
    <w:multiLevelType w:val="hybridMultilevel"/>
    <w:tmpl w:val="CA407E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D6FE4E54"/>
    <w:lvl w:ilvl="0">
      <w:start w:val="1"/>
      <w:numFmt w:val="decimal"/>
      <w:pStyle w:val="Heading1"/>
      <w:lvlText w:val="%1."/>
      <w:lvlJc w:val="left"/>
      <w:pPr>
        <w:ind w:left="432" w:hanging="432"/>
      </w:pPr>
      <w:rPr>
        <w:rFonts w:ascii="Arial" w:eastAsiaTheme="minorHAnsi" w:hAnsi="Arial" w:cs="Arial"/>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15D9E"/>
    <w:multiLevelType w:val="hybridMultilevel"/>
    <w:tmpl w:val="7C2E8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F4644C"/>
    <w:multiLevelType w:val="hybridMultilevel"/>
    <w:tmpl w:val="00E256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F005CCC"/>
    <w:multiLevelType w:val="hybridMultilevel"/>
    <w:tmpl w:val="77D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614FB"/>
    <w:multiLevelType w:val="hybridMultilevel"/>
    <w:tmpl w:val="292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25B1B"/>
    <w:multiLevelType w:val="hybridMultilevel"/>
    <w:tmpl w:val="C1FC9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0E22DC"/>
    <w:multiLevelType w:val="hybridMultilevel"/>
    <w:tmpl w:val="193C7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4A15EE"/>
    <w:multiLevelType w:val="multilevel"/>
    <w:tmpl w:val="04CA2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16297"/>
    <w:multiLevelType w:val="hybridMultilevel"/>
    <w:tmpl w:val="027A6F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64903"/>
    <w:multiLevelType w:val="hybridMultilevel"/>
    <w:tmpl w:val="6790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8633F"/>
    <w:multiLevelType w:val="multilevel"/>
    <w:tmpl w:val="4B1CD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25317"/>
    <w:multiLevelType w:val="hybridMultilevel"/>
    <w:tmpl w:val="CAF4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3157F"/>
    <w:multiLevelType w:val="hybridMultilevel"/>
    <w:tmpl w:val="D77C5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D6DE2"/>
    <w:multiLevelType w:val="hybridMultilevel"/>
    <w:tmpl w:val="B052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D939C8"/>
    <w:multiLevelType w:val="hybridMultilevel"/>
    <w:tmpl w:val="EC68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968B9"/>
    <w:multiLevelType w:val="multilevel"/>
    <w:tmpl w:val="963AD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1A3F28"/>
    <w:multiLevelType w:val="hybridMultilevel"/>
    <w:tmpl w:val="388A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305A00"/>
    <w:multiLevelType w:val="hybridMultilevel"/>
    <w:tmpl w:val="0EC6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26"/>
  </w:num>
  <w:num w:numId="5">
    <w:abstractNumId w:val="20"/>
  </w:num>
  <w:num w:numId="6">
    <w:abstractNumId w:val="10"/>
  </w:num>
  <w:num w:numId="7">
    <w:abstractNumId w:val="1"/>
  </w:num>
  <w:num w:numId="8">
    <w:abstractNumId w:val="3"/>
  </w:num>
  <w:num w:numId="9">
    <w:abstractNumId w:val="16"/>
  </w:num>
  <w:num w:numId="10">
    <w:abstractNumId w:val="4"/>
  </w:num>
  <w:num w:numId="11">
    <w:abstractNumId w:val="19"/>
  </w:num>
  <w:num w:numId="12">
    <w:abstractNumId w:val="27"/>
  </w:num>
  <w:num w:numId="13">
    <w:abstractNumId w:val="25"/>
  </w:num>
  <w:num w:numId="14">
    <w:abstractNumId w:val="17"/>
  </w:num>
  <w:num w:numId="15">
    <w:abstractNumId w:val="8"/>
  </w:num>
  <w:num w:numId="16">
    <w:abstractNumId w:val="23"/>
  </w:num>
  <w:num w:numId="17">
    <w:abstractNumId w:val="9"/>
  </w:num>
  <w:num w:numId="18">
    <w:abstractNumId w:val="22"/>
  </w:num>
  <w:num w:numId="19">
    <w:abstractNumId w:val="14"/>
  </w:num>
  <w:num w:numId="20">
    <w:abstractNumId w:val="12"/>
  </w:num>
  <w:num w:numId="21">
    <w:abstractNumId w:val="18"/>
  </w:num>
  <w:num w:numId="22">
    <w:abstractNumId w:val="24"/>
  </w:num>
  <w:num w:numId="23">
    <w:abstractNumId w:val="13"/>
  </w:num>
  <w:num w:numId="24">
    <w:abstractNumId w:val="27"/>
  </w:num>
  <w:num w:numId="25">
    <w:abstractNumId w:val="7"/>
  </w:num>
  <w:num w:numId="26">
    <w:abstractNumId w:val="21"/>
  </w:num>
  <w:num w:numId="27">
    <w:abstractNumId w:val="25"/>
  </w:num>
  <w:num w:numId="28">
    <w:abstractNumId w:val="17"/>
  </w:num>
  <w:num w:numId="29">
    <w:abstractNumId w:val="2"/>
  </w:num>
  <w:num w:numId="30">
    <w:abstractNumId w:val="15"/>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43ACE"/>
    <w:rsid w:val="000525E2"/>
    <w:rsid w:val="000532E5"/>
    <w:rsid w:val="000C08D7"/>
    <w:rsid w:val="000C63A7"/>
    <w:rsid w:val="000D64AA"/>
    <w:rsid w:val="001062BF"/>
    <w:rsid w:val="0010700A"/>
    <w:rsid w:val="00132D32"/>
    <w:rsid w:val="00134281"/>
    <w:rsid w:val="00174139"/>
    <w:rsid w:val="001A5A31"/>
    <w:rsid w:val="001A7ADA"/>
    <w:rsid w:val="001B2025"/>
    <w:rsid w:val="00204546"/>
    <w:rsid w:val="00215338"/>
    <w:rsid w:val="00242BCA"/>
    <w:rsid w:val="00245B14"/>
    <w:rsid w:val="00250BC0"/>
    <w:rsid w:val="00253637"/>
    <w:rsid w:val="002723C7"/>
    <w:rsid w:val="002C04CE"/>
    <w:rsid w:val="002C7888"/>
    <w:rsid w:val="002C7AA5"/>
    <w:rsid w:val="002D018B"/>
    <w:rsid w:val="002D19E7"/>
    <w:rsid w:val="002E0DC0"/>
    <w:rsid w:val="002E7933"/>
    <w:rsid w:val="00340F32"/>
    <w:rsid w:val="003727CB"/>
    <w:rsid w:val="00396043"/>
    <w:rsid w:val="003A093C"/>
    <w:rsid w:val="003D489E"/>
    <w:rsid w:val="003E3B00"/>
    <w:rsid w:val="003F4C33"/>
    <w:rsid w:val="003F5566"/>
    <w:rsid w:val="0042260A"/>
    <w:rsid w:val="0043009A"/>
    <w:rsid w:val="00452E0B"/>
    <w:rsid w:val="00462EF4"/>
    <w:rsid w:val="0046350B"/>
    <w:rsid w:val="00480428"/>
    <w:rsid w:val="004804E4"/>
    <w:rsid w:val="004856D4"/>
    <w:rsid w:val="004E0159"/>
    <w:rsid w:val="004E46E2"/>
    <w:rsid w:val="0055414F"/>
    <w:rsid w:val="005A6C41"/>
    <w:rsid w:val="005F25AB"/>
    <w:rsid w:val="006650B1"/>
    <w:rsid w:val="006754E4"/>
    <w:rsid w:val="0069158E"/>
    <w:rsid w:val="00696034"/>
    <w:rsid w:val="00697E17"/>
    <w:rsid w:val="006E1BE2"/>
    <w:rsid w:val="006E1ECE"/>
    <w:rsid w:val="006F7434"/>
    <w:rsid w:val="00705117"/>
    <w:rsid w:val="00710ED0"/>
    <w:rsid w:val="007335B2"/>
    <w:rsid w:val="00741474"/>
    <w:rsid w:val="007558C9"/>
    <w:rsid w:val="00781C84"/>
    <w:rsid w:val="007A0CF7"/>
    <w:rsid w:val="007D28C5"/>
    <w:rsid w:val="007F34C9"/>
    <w:rsid w:val="008024B1"/>
    <w:rsid w:val="008557C7"/>
    <w:rsid w:val="008706B5"/>
    <w:rsid w:val="008C11B9"/>
    <w:rsid w:val="00917352"/>
    <w:rsid w:val="00956BA3"/>
    <w:rsid w:val="00964E93"/>
    <w:rsid w:val="00974822"/>
    <w:rsid w:val="009A0063"/>
    <w:rsid w:val="009A600C"/>
    <w:rsid w:val="009F603E"/>
    <w:rsid w:val="00A16C3A"/>
    <w:rsid w:val="00A4249D"/>
    <w:rsid w:val="00A55E33"/>
    <w:rsid w:val="00AA0D07"/>
    <w:rsid w:val="00AA25BE"/>
    <w:rsid w:val="00AA6B2F"/>
    <w:rsid w:val="00AB6453"/>
    <w:rsid w:val="00AC3A04"/>
    <w:rsid w:val="00AE0294"/>
    <w:rsid w:val="00AF05C1"/>
    <w:rsid w:val="00B430B4"/>
    <w:rsid w:val="00B80470"/>
    <w:rsid w:val="00BB4D33"/>
    <w:rsid w:val="00BD2885"/>
    <w:rsid w:val="00BF0BFF"/>
    <w:rsid w:val="00C01026"/>
    <w:rsid w:val="00C02C82"/>
    <w:rsid w:val="00C330F5"/>
    <w:rsid w:val="00C52927"/>
    <w:rsid w:val="00C531AC"/>
    <w:rsid w:val="00CD211E"/>
    <w:rsid w:val="00CF176E"/>
    <w:rsid w:val="00D234E6"/>
    <w:rsid w:val="00D344BA"/>
    <w:rsid w:val="00D42138"/>
    <w:rsid w:val="00D4369F"/>
    <w:rsid w:val="00D51886"/>
    <w:rsid w:val="00D77819"/>
    <w:rsid w:val="00D86F8B"/>
    <w:rsid w:val="00D91812"/>
    <w:rsid w:val="00DA1AA9"/>
    <w:rsid w:val="00DB0A65"/>
    <w:rsid w:val="00DD0E46"/>
    <w:rsid w:val="00DD4344"/>
    <w:rsid w:val="00E3013A"/>
    <w:rsid w:val="00EC40B2"/>
    <w:rsid w:val="00F01EC2"/>
    <w:rsid w:val="00F07D17"/>
    <w:rsid w:val="00F62D77"/>
    <w:rsid w:val="00F73C3F"/>
    <w:rsid w:val="00F970AB"/>
    <w:rsid w:val="00FB7B87"/>
    <w:rsid w:val="00FD12E5"/>
    <w:rsid w:val="00FD5D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3D7EE6"/>
  <w14:defaultImageDpi w14:val="32767"/>
  <w15:docId w15:val="{C3FF735B-F613-4640-A7DB-B048E839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CD211E"/>
    <w:pPr>
      <w:spacing w:before="360"/>
    </w:pPr>
    <w:rPr>
      <w:rFonts w:asciiTheme="majorHAnsi" w:hAnsiTheme="majorHAnsi" w:cstheme="majorHAnsi"/>
      <w:b/>
      <w:bCs/>
      <w:caps/>
    </w:rPr>
  </w:style>
  <w:style w:type="paragraph" w:styleId="TOC2">
    <w:name w:val="toc 2"/>
    <w:basedOn w:val="Normal"/>
    <w:next w:val="Normal"/>
    <w:autoRedefine/>
    <w:uiPriority w:val="39"/>
    <w:rsid w:val="00CD211E"/>
    <w:pPr>
      <w:tabs>
        <w:tab w:val="left" w:pos="660"/>
        <w:tab w:val="right" w:pos="8296"/>
      </w:tabs>
      <w:spacing w:before="80"/>
    </w:pPr>
    <w:rPr>
      <w:rFonts w:cstheme="minorHAnsi"/>
      <w:b/>
      <w:bCs/>
      <w:sz w:val="20"/>
      <w:szCs w:val="20"/>
    </w:rPr>
  </w:style>
  <w:style w:type="character" w:styleId="Strong">
    <w:name w:val="Strong"/>
    <w:basedOn w:val="DefaultParagraphFont"/>
    <w:uiPriority w:val="22"/>
    <w:qFormat/>
    <w:rsid w:val="007A0CF7"/>
    <w:rPr>
      <w:b/>
      <w:bCs/>
    </w:rPr>
  </w:style>
  <w:style w:type="paragraph" w:styleId="NormalWeb">
    <w:name w:val="Normal (Web)"/>
    <w:basedOn w:val="Normal"/>
    <w:uiPriority w:val="99"/>
    <w:unhideWhenUsed/>
    <w:rsid w:val="007A0CF7"/>
    <w:pPr>
      <w:spacing w:before="100" w:beforeAutospacing="1" w:after="100" w:afterAutospacing="1"/>
    </w:pPr>
    <w:rPr>
      <w:rFonts w:ascii="Times New Roman" w:hAnsi="Times New Roman" w:cs="Times New Roman"/>
      <w:lang w:eastAsia="en-GB"/>
    </w:rPr>
  </w:style>
  <w:style w:type="paragraph" w:customStyle="1" w:styleId="xmsonormal">
    <w:name w:val="x_msonormal"/>
    <w:basedOn w:val="Normal"/>
    <w:rsid w:val="00CF176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F176E"/>
  </w:style>
  <w:style w:type="character" w:customStyle="1" w:styleId="xgmail-msofootnotereference">
    <w:name w:val="x_gmail-msofootnotereference"/>
    <w:basedOn w:val="DefaultParagraphFont"/>
    <w:rsid w:val="00CF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25307331">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06668635">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74520212">
      <w:bodyDiv w:val="1"/>
      <w:marLeft w:val="0"/>
      <w:marRight w:val="0"/>
      <w:marTop w:val="0"/>
      <w:marBottom w:val="0"/>
      <w:divBdr>
        <w:top w:val="none" w:sz="0" w:space="0" w:color="auto"/>
        <w:left w:val="none" w:sz="0" w:space="0" w:color="auto"/>
        <w:bottom w:val="none" w:sz="0" w:space="0" w:color="auto"/>
        <w:right w:val="none" w:sz="0" w:space="0" w:color="auto"/>
      </w:divBdr>
    </w:div>
    <w:div w:id="1652833736">
      <w:bodyDiv w:val="1"/>
      <w:marLeft w:val="0"/>
      <w:marRight w:val="0"/>
      <w:marTop w:val="0"/>
      <w:marBottom w:val="0"/>
      <w:divBdr>
        <w:top w:val="none" w:sz="0" w:space="0" w:color="auto"/>
        <w:left w:val="none" w:sz="0" w:space="0" w:color="auto"/>
        <w:bottom w:val="none" w:sz="0" w:space="0" w:color="auto"/>
        <w:right w:val="none" w:sz="0" w:space="0" w:color="auto"/>
      </w:divBdr>
    </w:div>
    <w:div w:id="1655910906">
      <w:bodyDiv w:val="1"/>
      <w:marLeft w:val="0"/>
      <w:marRight w:val="0"/>
      <w:marTop w:val="0"/>
      <w:marBottom w:val="0"/>
      <w:divBdr>
        <w:top w:val="none" w:sz="0" w:space="0" w:color="auto"/>
        <w:left w:val="none" w:sz="0" w:space="0" w:color="auto"/>
        <w:bottom w:val="none" w:sz="0" w:space="0" w:color="auto"/>
        <w:right w:val="none" w:sz="0" w:space="0" w:color="auto"/>
      </w:divBdr>
    </w:div>
    <w:div w:id="1794708124">
      <w:bodyDiv w:val="1"/>
      <w:marLeft w:val="0"/>
      <w:marRight w:val="0"/>
      <w:marTop w:val="0"/>
      <w:marBottom w:val="0"/>
      <w:divBdr>
        <w:top w:val="none" w:sz="0" w:space="0" w:color="auto"/>
        <w:left w:val="none" w:sz="0" w:space="0" w:color="auto"/>
        <w:bottom w:val="none" w:sz="0" w:space="0" w:color="auto"/>
        <w:right w:val="none" w:sz="0" w:space="0" w:color="auto"/>
      </w:divBdr>
    </w:div>
    <w:div w:id="1868058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Emma.orme\AppData\Local\Microsoft\Windows\INetCache\IE\01QD2OMI\Consent%20guidance.docx" TargetMode="External"/><Relationship Id="rId21" Type="http://schemas.openxmlformats.org/officeDocument/2006/relationships/hyperlink" Target="file:///C:\Users\Emma.orme\AppData\Local\Microsoft\Windows\INetCache\IE\01QD2OMI\Consent%20guidance.docx" TargetMode="External"/><Relationship Id="rId42" Type="http://schemas.openxmlformats.org/officeDocument/2006/relationships/hyperlink" Target="https://assets.publishing.service.gov.uk/government/uploads/system/uploads/attachment_data/file/138296/dh_103653__1_.pdf" TargetMode="External"/><Relationship Id="rId47" Type="http://schemas.openxmlformats.org/officeDocument/2006/relationships/hyperlink" Target="https://practiceindex.co.uk/gp/forum/threads/consent.13901/" TargetMode="External"/><Relationship Id="rId63" Type="http://schemas.openxmlformats.org/officeDocument/2006/relationships/hyperlink" Target="https://www.gov.uk/government/publications/code-of-practice-mental-health-act-1983" TargetMode="External"/><Relationship Id="rId68" Type="http://schemas.openxmlformats.org/officeDocument/2006/relationships/hyperlink" Target="https://www.cqc.org.uk/guidance-providers/gps/gp-mythbuster-8-gillick-competency-fraser-guidelines" TargetMode="External"/><Relationship Id="rId16" Type="http://schemas.openxmlformats.org/officeDocument/2006/relationships/hyperlink" Target="file:///C:\Users\Emma.orme\AppData\Local\Microsoft\Windows\INetCache\IE\01QD2OMI\Consent%20guidance.docx" TargetMode="External"/><Relationship Id="rId11" Type="http://schemas.openxmlformats.org/officeDocument/2006/relationships/hyperlink" Target="file:///C:\Users\Emma.orme\AppData\Local\Microsoft\Windows\INetCache\IE\01QD2OMI\Consent%20guidance.docx" TargetMode="External"/><Relationship Id="rId24" Type="http://schemas.openxmlformats.org/officeDocument/2006/relationships/hyperlink" Target="file:///C:\Users\Emma.orme\AppData\Local\Microsoft\Windows\INetCache\IE\01QD2OMI\Consent%20guidance.docx" TargetMode="External"/><Relationship Id="rId32" Type="http://schemas.openxmlformats.org/officeDocument/2006/relationships/hyperlink" Target="file:///C:\Users\Emma.orme\AppData\Local\Microsoft\Windows\INetCache\IE\01QD2OMI\Consent%20guidance.docx" TargetMode="External"/><Relationship Id="rId37" Type="http://schemas.openxmlformats.org/officeDocument/2006/relationships/hyperlink" Target="file:///C:\Users\Emma.orme\AppData\Local\Microsoft\Windows\INetCache\IE\01QD2OMI\Consent%20guidance.docx" TargetMode="External"/><Relationship Id="rId40" Type="http://schemas.openxmlformats.org/officeDocument/2006/relationships/hyperlink" Target="file:///C:\Users\Emma.orme\AppData\Local\Microsoft\Windows\INetCache\IE\01QD2OMI\Consent%20guidance.docx" TargetMode="External"/><Relationship Id="rId45" Type="http://schemas.openxmlformats.org/officeDocument/2006/relationships/hyperlink" Target="https://www.cqc.org.uk/guidance-providers/gps/nigels-surgery-49-consent-minor-surgery-gp-surgeries" TargetMode="External"/><Relationship Id="rId53" Type="http://schemas.openxmlformats.org/officeDocument/2006/relationships/hyperlink" Target="https://www.cqc.org.uk/guidance-providers/gps/gp-mythbuster-8-gillick-competency-fraser-guidelines" TargetMode="External"/><Relationship Id="rId58" Type="http://schemas.openxmlformats.org/officeDocument/2006/relationships/hyperlink" Target="https://www.gmc-uk.org/ethical-guidance/ethical-guidance-for-doctors/consent" TargetMode="External"/><Relationship Id="rId66" Type="http://schemas.openxmlformats.org/officeDocument/2006/relationships/hyperlink" Target="https://assets.publishing.service.gov.uk/government/uploads/system/uploads/attachment_data/file/138297/dh_103652.pdf" TargetMode="External"/><Relationship Id="rId74" Type="http://schemas.openxmlformats.org/officeDocument/2006/relationships/hyperlink" Target="https://www.mind.org.uk/information-support/legal-rights/mental-capacity-act-2005/deprivation-of-liberty/"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file:///C:\Users\Emma.orme\AppData\Local\Microsoft\Windows\INetCache\IE\01QD2OMI\Consent%20guidance.docx" TargetMode="External"/><Relationship Id="rId19" Type="http://schemas.openxmlformats.org/officeDocument/2006/relationships/hyperlink" Target="file:///C:\Users\Emma.orme\AppData\Local\Microsoft\Windows\INetCache\IE\01QD2OMI\Consent%20guidance.docx" TargetMode="External"/><Relationship Id="rId14" Type="http://schemas.openxmlformats.org/officeDocument/2006/relationships/hyperlink" Target="file:///C:\Users\Emma.orme\AppData\Local\Microsoft\Windows\INetCache\IE\01QD2OMI\Consent%20guidance.docx" TargetMode="External"/><Relationship Id="rId22" Type="http://schemas.openxmlformats.org/officeDocument/2006/relationships/hyperlink" Target="file:///C:\Users\Emma.orme\AppData\Local\Microsoft\Windows\INetCache\IE\01QD2OMI\Consent%20guidance.docx" TargetMode="External"/><Relationship Id="rId27" Type="http://schemas.openxmlformats.org/officeDocument/2006/relationships/hyperlink" Target="file:///C:\Users\Emma.orme\AppData\Local\Microsoft\Windows\INetCache\IE\01QD2OMI\Consent%20guidance.docx" TargetMode="External"/><Relationship Id="rId30" Type="http://schemas.openxmlformats.org/officeDocument/2006/relationships/hyperlink" Target="file:///C:\Users\Emma.orme\AppData\Local\Microsoft\Windows\INetCache\IE\01QD2OMI\Consent%20guidance.docx" TargetMode="External"/><Relationship Id="rId35" Type="http://schemas.openxmlformats.org/officeDocument/2006/relationships/hyperlink" Target="file:///C:\Users\Emma.orme\AppData\Local\Microsoft\Windows\INetCache\IE\01QD2OMI\Consent%20guidance.docx" TargetMode="External"/><Relationship Id="rId43" Type="http://schemas.openxmlformats.org/officeDocument/2006/relationships/hyperlink" Target="https://www.rcseng.ac.uk/standards-and-research/standards-and-guidance/good-practice-guides/consent/" TargetMode="External"/><Relationship Id="rId48" Type="http://schemas.openxmlformats.org/officeDocument/2006/relationships/hyperlink" Target="https://www.legislation.gov.uk/ukpga/2010/15/contents" TargetMode="External"/><Relationship Id="rId56" Type="http://schemas.openxmlformats.org/officeDocument/2006/relationships/hyperlink" Target="https://www.bma.org.uk/advice-and-support/ethics/seeking-consent/seeking-patient-consent-toolkit" TargetMode="External"/><Relationship Id="rId64" Type="http://schemas.openxmlformats.org/officeDocument/2006/relationships/hyperlink" Target="http://www.legislation.gov.uk/ukpga/Geo6/11-12/29/contents" TargetMode="External"/><Relationship Id="rId69" Type="http://schemas.openxmlformats.org/officeDocument/2006/relationships/hyperlink" Target="https://www.medicalprotection.org/uk/articles/consent-uk"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cqc.org.uk/guidance-providers/gps/gp-mythbuster-8-gillick-competency-fraser-guidelines" TargetMode="External"/><Relationship Id="rId72" Type="http://schemas.openxmlformats.org/officeDocument/2006/relationships/hyperlink" Target="http://www.legislation.gov.uk/ukpga/2005/9/contents" TargetMode="External"/><Relationship Id="rId3" Type="http://schemas.openxmlformats.org/officeDocument/2006/relationships/numbering" Target="numbering.xml"/><Relationship Id="rId12" Type="http://schemas.openxmlformats.org/officeDocument/2006/relationships/hyperlink" Target="file:///C:\Users\Emma.orme\AppData\Local\Microsoft\Windows\INetCache\IE\01QD2OMI\Consent%20guidance.docx" TargetMode="External"/><Relationship Id="rId17" Type="http://schemas.openxmlformats.org/officeDocument/2006/relationships/hyperlink" Target="file:///C:\Users\Emma.orme\AppData\Local\Microsoft\Windows\INetCache\IE\01QD2OMI\Consent%20guidance.docx" TargetMode="External"/><Relationship Id="rId25" Type="http://schemas.openxmlformats.org/officeDocument/2006/relationships/hyperlink" Target="file:///C:\Users\Emma.orme\AppData\Local\Microsoft\Windows\INetCache\IE\01QD2OMI\Consent%20guidance.docx" TargetMode="External"/><Relationship Id="rId33" Type="http://schemas.openxmlformats.org/officeDocument/2006/relationships/hyperlink" Target="file:///C:\Users\Emma.orme\AppData\Local\Microsoft\Windows\INetCache\IE\01QD2OMI\Consent%20guidance.docx" TargetMode="External"/><Relationship Id="rId38" Type="http://schemas.openxmlformats.org/officeDocument/2006/relationships/hyperlink" Target="file:///C:\Users\Emma.orme\AppData\Local\Microsoft\Windows\INetCache\IE\01QD2OMI\Consent%20guidance.docx" TargetMode="External"/><Relationship Id="rId46" Type="http://schemas.openxmlformats.org/officeDocument/2006/relationships/image" Target="media/image1.jpeg"/><Relationship Id="rId59" Type="http://schemas.openxmlformats.org/officeDocument/2006/relationships/hyperlink" Target="https://www.cqc.org.uk/guidance-providers/gps/gp-mythbuster-49-consent-minor-surgery-gp-surgeries" TargetMode="External"/><Relationship Id="rId67" Type="http://schemas.openxmlformats.org/officeDocument/2006/relationships/hyperlink" Target="https://www.bma.org.uk/media/2481/bma-consent-toolkit-september-2019.pdf" TargetMode="External"/><Relationship Id="rId20" Type="http://schemas.openxmlformats.org/officeDocument/2006/relationships/hyperlink" Target="file:///C:\Users\Emma.orme\AppData\Local\Microsoft\Windows\INetCache\IE\01QD2OMI\Consent%20guidance.docx" TargetMode="External"/><Relationship Id="rId41" Type="http://schemas.openxmlformats.org/officeDocument/2006/relationships/hyperlink" Target="file:///C:\Users\Emma.orme\AppData\Local\Microsoft\Windows\INetCache\IE\01QD2OMI\Consent%20guidance.docx" TargetMode="External"/><Relationship Id="rId54" Type="http://schemas.openxmlformats.org/officeDocument/2006/relationships/hyperlink" Target="https://www.medicalprotection.org/uk/articles/consent-uk" TargetMode="External"/><Relationship Id="rId62" Type="http://schemas.openxmlformats.org/officeDocument/2006/relationships/hyperlink" Target="https://digital.nhs.uk/services/terminology-and-classifications/snomed-ct" TargetMode="External"/><Relationship Id="rId70" Type="http://schemas.openxmlformats.org/officeDocument/2006/relationships/hyperlink" Target="https://www.legislation.gov.uk/ukpga/1989/41"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Emma.orme\AppData\Local\Microsoft\Windows\INetCache\IE\01QD2OMI\Consent%20guidance.docx" TargetMode="External"/><Relationship Id="rId23" Type="http://schemas.openxmlformats.org/officeDocument/2006/relationships/hyperlink" Target="file:///C:\Users\Emma.orme\AppData\Local\Microsoft\Windows\INetCache\IE\01QD2OMI\Consent%20guidance.docx" TargetMode="External"/><Relationship Id="rId28" Type="http://schemas.openxmlformats.org/officeDocument/2006/relationships/hyperlink" Target="file:///C:\Users\Emma.orme\AppData\Local\Microsoft\Windows\INetCache\IE\01QD2OMI\Consent%20guidance.docx" TargetMode="External"/><Relationship Id="rId36" Type="http://schemas.openxmlformats.org/officeDocument/2006/relationships/hyperlink" Target="file:///C:\Users\Emma.orme\AppData\Local\Microsoft\Windows\INetCache\IE\01QD2OMI\Consent%20guidance.docx" TargetMode="External"/><Relationship Id="rId49" Type="http://schemas.openxmlformats.org/officeDocument/2006/relationships/hyperlink" Target="https://www.legislation.gov.uk/ukpga/1989/41/contents" TargetMode="External"/><Relationship Id="rId57" Type="http://schemas.openxmlformats.org/officeDocument/2006/relationships/hyperlink" Target="https://www.rcseng.ac.uk/standards-and-research/standards-and-guidance/good-practice-guides/consent/" TargetMode="External"/><Relationship Id="rId10" Type="http://schemas.openxmlformats.org/officeDocument/2006/relationships/hyperlink" Target="file:///C:\Users\Emma.orme\AppData\Local\Microsoft\Windows\INetCache\IE\01QD2OMI\Consent%20guidance.docx" TargetMode="External"/><Relationship Id="rId31" Type="http://schemas.openxmlformats.org/officeDocument/2006/relationships/hyperlink" Target="file:///C:\Users\Emma.orme\AppData\Local\Microsoft\Windows\INetCache\IE\01QD2OMI\Consent%20guidance.docx" TargetMode="External"/><Relationship Id="rId44" Type="http://schemas.openxmlformats.org/officeDocument/2006/relationships/hyperlink" Target="https://www.cqc.org.uk/guidance-providers/gps/gp-mythbuster-8-gillick-competency-fraser-guidelines" TargetMode="External"/><Relationship Id="rId52" Type="http://schemas.openxmlformats.org/officeDocument/2006/relationships/hyperlink" Target="https://learning.nspcc.org.uk/child-protection-system/gillick-competence-fraser-guidelines" TargetMode="External"/><Relationship Id="rId60" Type="http://schemas.openxmlformats.org/officeDocument/2006/relationships/hyperlink" Target="file:///C:\Users\Emma.orme\AppData\Local\Microsoft\Windows\INetCache\IE\01QD2OMI\Consent%20guidance.docx" TargetMode="External"/><Relationship Id="rId65" Type="http://schemas.openxmlformats.org/officeDocument/2006/relationships/hyperlink" Target="file:///C:\Users\Emma.orme\AppData\Local\Microsoft\Windows\INetCache\IE\01QD2OMI\Consent%20guidance.docx" TargetMode="External"/><Relationship Id="rId73" Type="http://schemas.openxmlformats.org/officeDocument/2006/relationships/hyperlink" Target="https://practiceindex.co.uk/gp/forum/resources/mental-capacity-act-policy.1105/"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Emma.orme\AppData\Local\Microsoft\Windows\INetCache\IE\01QD2OMI\Consent%20guidance.docx" TargetMode="External"/><Relationship Id="rId13" Type="http://schemas.openxmlformats.org/officeDocument/2006/relationships/hyperlink" Target="file:///C:\Users\Emma.orme\AppData\Local\Microsoft\Windows\INetCache\IE\01QD2OMI\Consent%20guidance.docx" TargetMode="External"/><Relationship Id="rId18" Type="http://schemas.openxmlformats.org/officeDocument/2006/relationships/hyperlink" Target="file:///C:\Users\Emma.orme\AppData\Local\Microsoft\Windows\INetCache\IE\01QD2OMI\Consent%20guidance.docx" TargetMode="External"/><Relationship Id="rId39" Type="http://schemas.openxmlformats.org/officeDocument/2006/relationships/hyperlink" Target="file:///C:\Users\Emma.orme\AppData\Local\Microsoft\Windows\INetCache\IE\01QD2OMI\Consent%20guidance.docx" TargetMode="External"/><Relationship Id="rId34" Type="http://schemas.openxmlformats.org/officeDocument/2006/relationships/hyperlink" Target="file:///C:\Users\Emma.orme\AppData\Local\Microsoft\Windows\INetCache\IE\01QD2OMI\Consent%20guidance.docx" TargetMode="External"/><Relationship Id="rId50" Type="http://schemas.openxmlformats.org/officeDocument/2006/relationships/hyperlink" Target="https://learning.nspcc.org.uk/child-protection-system/gillick-competence-fraser-guidelines" TargetMode="External"/><Relationship Id="rId55" Type="http://schemas.openxmlformats.org/officeDocument/2006/relationships/hyperlink" Target="https://www.bmj.com/content/357/bmj.j2224"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www.medicalprotection.org/uk/articles/consent-uk" TargetMode="External"/><Relationship Id="rId2" Type="http://schemas.openxmlformats.org/officeDocument/2006/relationships/customXml" Target="../customXml/item2.xml"/><Relationship Id="rId29" Type="http://schemas.openxmlformats.org/officeDocument/2006/relationships/hyperlink" Target="file:///C:\Users\Emma.orme\AppData\Local\Microsoft\Windows\INetCache\IE\01QD2OMI\Consent%20guidance.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gland.nhs.uk/publication/network-contract-des-specification-2021-22/" TargetMode="External"/><Relationship Id="rId2" Type="http://schemas.openxmlformats.org/officeDocument/2006/relationships/hyperlink" Target="https://www.cqc.org.uk/sites/default/files/20180628%20Healthcare%20services%20KLOEs%20prompts%20and%20characteristics%20FINAL.pdf" TargetMode="External"/><Relationship Id="rId1" Type="http://schemas.openxmlformats.org/officeDocument/2006/relationships/hyperlink" Target="https://www.euro.who.int/__data/assets/pdf_file/0018/133128/e94739.pdf" TargetMode="External"/><Relationship Id="rId5" Type="http://schemas.openxmlformats.org/officeDocument/2006/relationships/hyperlink" Target="https://www.gov.uk/government/publications/consent-the-green-book-chapter-2" TargetMode="External"/><Relationship Id="rId4" Type="http://schemas.openxmlformats.org/officeDocument/2006/relationships/hyperlink" Target="https://www.gov.uk/government/uploads/system/uploads/attachment_data/file/138296/dh_103653__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DE48FD-5FB6-4038-8015-8F18C2E7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5376</Words>
  <Characters>30648</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LAWTON, Maria (HALL GREEN SURGERY)</cp:lastModifiedBy>
  <cp:revision>2</cp:revision>
  <dcterms:created xsi:type="dcterms:W3CDTF">2022-01-26T10:50:00Z</dcterms:created>
  <dcterms:modified xsi:type="dcterms:W3CDTF">2022-01-26T10:50:00Z</dcterms:modified>
</cp:coreProperties>
</file>